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Software Engineer with 11 years of experience specializing in web and mobile applications. Proven expertise in building transformative AI solutions, leveraging JavaScript, SQL, Python, and various frameworks to drive automation and optimize business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SQL, Java, Ruby,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 TensorFlow, PyTorch, Pandas,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PostgreSQL, MySQL, MongoDB, BigQuery, Apache Kafka, Apache Spark,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GraphQL, REST, OAuth, OpenAPI, gRPC, WebSockets, XML, JSON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innovative </w:t>
      </w:r>
      <w:r w:rsidRPr="00745DD3">
        <w:rPr>
          <w:rFonts w:ascii="Roboto Light" w:eastAsia="Roboto Light" w:hAnsi="Roboto Light" w:cs="Roboto Light"/>
          <w:b/>
          <w:bCs/>
          <w:color w:val="404040" w:themeColor="text1" w:themeTint="BF"/>
          <w:sz w:val="20"/>
          <w:szCs w:val="20"/>
        </w:rPr>
        <w:t xml:space="preserve">AI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intelligent chatbots, automating complex processes to enhance operational efficiency and client value, facilitating strategic partnerships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data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 streams, ensuring seamless data ingestion and transformation across multiple platforms, promoting effective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production-grade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foundational engineering practices, including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strategies, and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reduce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Cursor and Claude Code, to rapidly prototype and iterate on AI-powered solutions, fostering a culture of innovation and adaptability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identify practical opportunities for </w:t>
      </w:r>
      <w:r w:rsidRPr="00745DD3">
        <w:rPr>
          <w:rFonts w:ascii="Roboto Light" w:eastAsia="Roboto Light" w:hAnsi="Roboto Light" w:cs="Roboto Light"/>
          <w:b/>
          <w:bCs/>
          <w:color w:val="404040" w:themeColor="text1" w:themeTint="BF"/>
          <w:sz w:val="20"/>
          <w:szCs w:val="20"/>
        </w:rPr>
        <w:t xml:space="preserve">AI adoption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mapping business requirements to viable technological solutions and delivering measurable improvements in client outcomes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intricate solutions while sharing best practices across teams to foster knowledge sharing, enhancing overall team capability and facilitating the rapid adoption of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fine-tune AI models, implementing guardrails to ensure the delivery of reliable and robust solutions while minimizing risks associated with AI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transformation processes toward an </w:t>
      </w:r>
      <w:r w:rsidRPr="00745DD3">
        <w:rPr>
          <w:rFonts w:ascii="Roboto Light" w:eastAsia="Roboto Light" w:hAnsi="Roboto Light" w:cs="Roboto Light"/>
          <w:b/>
          <w:bCs/>
          <w:color w:val="404040" w:themeColor="text1" w:themeTint="BF"/>
          <w:sz w:val="20"/>
          <w:szCs w:val="20"/>
        </w:rPr>
        <w:t xml:space="preserve">AI-centric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engaging with various departments, promoting collaboration and regular feedback on AI initiative effectiveness and user experience, leading to overall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channels of communication with both technical and non-technical audiences, effectively translating complex concepts into understandable terms, ensuring alignment and cooperation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evaluation of emerging AI technologies, integrating findings into ongoing projects to keep solutions relevant and competitive in a rapidly 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strategic </w:t>
      </w:r>
      <w:r w:rsidRPr="00745DD3">
        <w:rPr>
          <w:rFonts w:ascii="Roboto Light" w:eastAsia="Roboto Light" w:hAnsi="Roboto Light" w:cs="Roboto Light"/>
          <w:b/>
          <w:bCs/>
          <w:color w:val="404040" w:themeColor="text1" w:themeTint="BF"/>
          <w:sz w:val="20"/>
          <w:szCs w:val="20"/>
        </w:rPr>
        <w:t xml:space="preserve">AI programs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brainstorming sessions and workshops focused on client-specific projects, enhancing overall project alignment with business objectives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team members in the best practices of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preparing them to tackle unforeseen challenges with confidence and creativity, fostering a strong learning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w:t>
      </w:r>
      <w:r w:rsidRPr="00745DD3">
        <w:rPr>
          <w:rFonts w:ascii="Roboto Light" w:eastAsia="Roboto Light" w:hAnsi="Roboto Light" w:cs="Roboto Light"/>
          <w:b/>
          <w:bCs/>
          <w:color w:val="404040" w:themeColor="text1" w:themeTint="BF"/>
          <w:sz w:val="20"/>
          <w:szCs w:val="20"/>
        </w:rPr>
        <w:t xml:space="preserve">customer engagement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that tailored experiences across various digital touchpoints, significantly enhancing user satisfaction and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cutting-edge backend and frontend applications tailored to specific client needs, prioritizing usability and performance,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exceptional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delivering high-impact projects under tight deadlines, utilizing strong organizational and problem-solving skills to navigate challenges, aligning scores and ensuring stakeholder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combination with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user experiences and robust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RESTful APIs, ensuring best practices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consistency and performance across various microservices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debugging and performance optimization for existing applications, utilizing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usability and efficiency of software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both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involving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fostering a supportive environment of continuous learning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automated testing frameworks and scripts to ensure quality and functionality of software deployments, leveraging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acceptance testing (UAT) to confirm software functionality and performance standards, closely collaborating with QA teams to track issues and deploy effective solutions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frameworks, improving maintainability and scalability while ensuring compatibility with contemporary platforms and technologies relevant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mining strategies across various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insightful analytics and reporting, which informed key business decisions and strategic pivots.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for enterprise-level applications focused on enhancing user engagement and accessibility, adhering to industry-standard practices in responsive design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cloud-native applications by leveraging various services offered by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deployment and management of applications, thus accelerating project timelines and enhancing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gather requirements and define project scopes, leading to successful rollouts of new features and continuous improvements based on user feedback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regarding application architecture, development processes, and API integrations, ensuring all information is readily available for future projects and knowledge retention.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