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AI and machine learning technologies. Proficient in building intelligent applications and workflows that empower teams across different operational domains, particularly in life sciences. A collaborative team player with a deep commitment to continuous innovation and hands-on development, looking to contribute expertise in a remote setting at Synterex.</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SQL, Typescript, R,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Azure OpenAI, GPT-4, LangChain, AutoGen, Semantic Kernel, Fine-tuning, LLM orchestration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React, Flask, Django, FastAPI, Node.js,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APIs, GraphQL, SOAP, Swagger, Postman,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Server, MongoDB, PostgreSQL, Elasticsearch, Hadoop, Apache Spark,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Azure, AWS, Google Cloud, Terraform, Jenkins, CircleCI,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robust applications utilizing </w:t>
      </w:r>
      <w:r w:rsidRPr="00745DD3">
        <w:rPr>
          <w:rFonts w:ascii="Roboto Light" w:eastAsia="Roboto Light" w:hAnsi="Roboto Light" w:cs="Roboto Light"/>
          <w:b/>
          <w:bCs/>
          <w:color w:val="404040" w:themeColor="text1" w:themeTint="BF"/>
          <w:sz w:val="20"/>
          <w:szCs w:val="20"/>
        </w:rPr>
        <w:t xml:space="preserve">Azure OpenAI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GPT-4</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workflows in clinical research for improved data handling and analysis capabilities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tested various GenAI applications incorporating </w:t>
      </w:r>
      <w:r w:rsidRPr="00745DD3">
        <w:rPr>
          <w:rFonts w:ascii="Roboto Light" w:eastAsia="Roboto Light" w:hAnsi="Roboto Light" w:cs="Roboto Light"/>
          <w:b/>
          <w:bCs/>
          <w:color w:val="404040" w:themeColor="text1" w:themeTint="BF"/>
          <w:sz w:val="20"/>
          <w:szCs w:val="20"/>
        </w:rPr>
        <w:t xml:space="preserve">LangChain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which allowed for efficient model orchestration and combined capabilities to drive innovation and streamline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deployment pipelines for LLMs through independent development, ensuring continuous integration and deployment practices in line with regulatory requirements in the pharmaceutical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adjustable prompts and evaluation strategies that improved the efficacy of model interactions, thereby increasing the quality of outputs and accuracy of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complex scientific concepts into functional prototypes, leveraging strong problem-solving skills while maintaining a focus on execution and timely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methodologies for agentic reasoning, ensuring that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upheld security and privacy standards while consistently delivering reliable outcomes across diverse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pipelines for data extraction and processing from both structured and unstructured datasets, significantly enhancing the capability of research teams in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domain experts to gather requirements and translate them into technical specifications, fostering collaboration that yielded impactful results and innovations for clinical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fine-tuning of models deployed in Azure, enhancing the performance of existing solutions significantly and allowing for broader applications across various phases of clinical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models with internal tools and APIs, enabling seamless interaction and accelerating the workflow of scientific and operational teams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responsible </w:t>
      </w:r>
      <w:r w:rsidRPr="00745DD3">
        <w:rPr>
          <w:rFonts w:ascii="Roboto Light" w:eastAsia="Roboto Light" w:hAnsi="Roboto Light" w:cs="Roboto Light"/>
          <w:b/>
          <w:bCs/>
          <w:color w:val="404040" w:themeColor="text1" w:themeTint="BF"/>
          <w:sz w:val="20"/>
          <w:szCs w:val="20"/>
        </w:rPr>
        <w:t xml:space="preserve">AI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all development phases, ensuring compliance with regulatory standards while fostering an innovative environment focused on experimentation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intuitive interfaces and dashboards for data visualization of model outputs, allowing for easier access and comprehension of vital information for end-users with varied backgrounds.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feedback loops to continuously improve GenAI workflows, showcasing adaptability and ensuring systems evolved in response to user needs and emerging scientific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learning of industry advancements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AI, applying new methodologies to ensure that applications remain cutting-edge in the fast-paced life sciences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w:t>
      </w:r>
      <w:r w:rsidRPr="00745DD3">
        <w:rPr>
          <w:rFonts w:ascii="Roboto Light" w:eastAsia="Roboto Light" w:hAnsi="Roboto Light" w:cs="Roboto Light"/>
          <w:b/>
          <w:bCs/>
          <w:color w:val="404040" w:themeColor="text1" w:themeTint="BF"/>
          <w:sz w:val="20"/>
          <w:szCs w:val="20"/>
        </w:rPr>
        <w:t xml:space="preserve">AI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capabilities and ensuring a culture of support and knowledge-sharing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numerous high-performance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teams in creating back-end services responsible for handling and processing large datasets in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build and integrate APIs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communication between front-end interfaces and back-end systems in a collaborative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of AI models for dynamic decision-making processes, leveraging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machine learning capabilities in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made significant contributions to infrastructure as code through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software releases were efficient and polished.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and deployment workflows, resulting in reduced environment-related issues and consistent application behavior across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testing and debugging of software products throughout the life cycle, ensuring high-quality outcomes and adherence to project timelines while collaborating with QA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integration of analytical tools using cloud 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infrastructure used for data storage and processing within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modular, scalable applications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responsive design and effective state management techniques, while fostering collaboration with UX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Outlined and executed a strategy for adopting modern development practices, emphasizing code reusability and modular approaches that yielded a more agile response to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align project goals with operational capabilities, ensuring software solutions met the needs of diverse stakeholders across business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Dived into advanced data structures and algorithms to improve the performance of applications, showcasing an ability to troubleshoot complex issues and yield efficient solutions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team's capabilities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organizing workshops and knowledge-sharing sessions, promoting continuous learning and application of the latest techniques within ongoing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