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TypeScript, React, and Node.js applications. Proven expertise in optimizing developer workflows and modernizing large codebases to enhance team velocity and performance under pressure.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high-performance local developer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team productivity.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migrate legacy frameworks to </w:t>
      </w:r>
      <w:r>
        <w:rPr>
          <w:rFonts w:asciiTheme="minorHAnsi" w:hAnsiTheme="minorHAnsi" w:cstheme="majorHAnsi"/>
          <w:b/>
          <w:bCs/>
          <w:lang w:val="en-US"/>
        </w:rPr>
        <w:t xml:space="preserve">SolidJS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frontend performance and developer satisfaction.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bundling and hot reloading times significantly.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reliability of builds.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establish coding standards and best practices within the Core Development Pod.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reusable libraries that resolved technical debt and streamlined workflows for multiple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growth and promoting high-quality coding practices across the engineering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frontend performance monitoring, reducing load times for critical components.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environments, ensuring smoother deployments.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discussions, aligning project goals with long-term strategy.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deployment processes.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high-impact projects, enhancing platform functionality.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flow and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best practices for code quality and collaboration.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unit and integration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robustness.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architecture improvements focusing on maintainability and scalability,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analyzing code and identifying bottlenecks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company-wide software design discussions, promoting architectural advancements for upcoming projects.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 and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API architecture and middleware solutions.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from legacy systems to more modern frameworks, significantly improving maintainability.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based on user feedback, ensuring higher satisfaction and engagement.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support and troubleshooting efforts during production cycles, minimizing downtime for critical services.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code efficiency within modules, achieving faster execution times and reduced resource consumption.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TypeScript, JavaScript, C++,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SolidJS, Node.js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AWS, Terraform, Docker, CI/CD, Kafka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Postgres, Redis, TimescaleDB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GitHub, Webpack, Babel, NPM, Yarn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