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web and mobile applications. Proficient in Python with mastery of FastAPI and Flask for backend development, alongside expertise in React and TypeScript for frontend engineering. Adept at leading technical projects, integrating AI solutions, and optimizing cloud infrastructure on AWS; known for collaborating efficiently with cross-functional teams and governmental stakeholders.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Java, SQL, HTML/CSS, Bash/Shell,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Flask, React, Material UI, Ansible, SimPy,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Containerization:</w:t>
      </w:r>
      <w:r w:rsidRPr="003813CA">
        <w:rPr>
          <w:rFonts w:ascii="Arial" w:eastAsia="Century Gothic" w:hAnsi="Arial" w:cs="Arial"/>
          <w:sz w:val="22"/>
          <w:szCs w:val="22"/>
        </w:rPr>
        <w:t xml:space="preserve"> AWS, Docker, Kubernetes, Terraform, Amazon S3, Redis, ElastiCache, Amazon DocumentDB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MongoDB, PostgreSQL, SQLAlchemy, DynamoDB, Apache Kafka, Apache Spark, Elasticsearch,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 Tools:</w:t>
      </w:r>
      <w:r w:rsidRPr="003813CA">
        <w:rPr>
          <w:rFonts w:ascii="Arial" w:eastAsia="Century Gothic" w:hAnsi="Arial" w:cs="Arial"/>
          <w:sz w:val="22"/>
          <w:szCs w:val="22"/>
        </w:rPr>
        <w:t xml:space="preserve"> Git, GitLab CI, GitHub Actions, CircleCI, Helm, Jenkins, OpenShift, Travis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deployment of a high-visibility digital twin application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performance for operational readiness within </w:t>
      </w:r>
      <w:r w:rsidRPr="003813CA">
        <w:rPr>
          <w:rStyle w:val="span"/>
          <w:rFonts w:ascii="Arial" w:eastAsia="Century Gothic" w:hAnsi="Arial" w:cs="Arial"/>
          <w:b/>
          <w:bCs/>
          <w:sz w:val="22"/>
          <w:szCs w:val="22"/>
        </w:rPr>
        <w:t xml:space="preserve">DoD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programs focused on ammunition logistics and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maintained, and modernized a web application employing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maintainability while leveraging advanced UX principles and integration of </w:t>
      </w:r>
      <w:r w:rsidRPr="003813CA">
        <w:rPr>
          <w:rStyle w:val="span"/>
          <w:rFonts w:ascii="Arial" w:eastAsia="Century Gothic" w:hAnsi="Arial" w:cs="Arial"/>
          <w:b/>
          <w:bCs/>
          <w:sz w:val="22"/>
          <w:szCs w:val="22"/>
        </w:rPr>
        <w:t xml:space="preserve">Material 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for a user-centric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containerized backend solution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deployment and orchestration of backend services in a secure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which significantly improved deployment efficiency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sprint planning sessions and coordinated team efforts through Agile methodologies, fostering a culture of collaboration and continuous improvement among developers and product stakeholders during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to ensure adherence to industry standards and best practices, focusing on maintainability, quality, and security across various application layers including frontend and backend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AI integration layers for the application, employing the </w:t>
      </w:r>
      <w:r w:rsidRPr="003813CA">
        <w:rPr>
          <w:rStyle w:val="span"/>
          <w:rFonts w:ascii="Arial" w:eastAsia="Century Gothic" w:hAnsi="Arial" w:cs="Arial"/>
          <w:b/>
          <w:bCs/>
          <w:sz w:val="22"/>
          <w:szCs w:val="22"/>
        </w:rPr>
        <w:t xml:space="preserve">OpenAI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such as allowing user-driven query processing, thus facilitating deeper analytical capabilities and user interaction.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validation workflows for data ingestion processes, enhancing overall application integrity through rigorous schema enforcement and real-time feedback loops for users, ensuring high data quality standards are met.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 comprehensive quality assurance strategy, incorporating integration testing across multiple services: frontend, backend, databases, and containerized components, ensuring reliability and high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discussions and decisions that transformed existing single-host applications into a scalable microservices architecture, improving team efficiency in delivering high-quality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relationships with government stakeholders to accurately translate mission requirements into actionable software specifications, enhancing the alignment between technical deliverables and operational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database interactions by optimizing queries and implementing caching mechanisms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reduced load times and improving overall application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secure authentication methods into the frontend, complying with </w:t>
      </w:r>
      <w:r w:rsidRPr="003813CA">
        <w:rPr>
          <w:rStyle w:val="span"/>
          <w:rFonts w:ascii="Arial" w:eastAsia="Century Gothic" w:hAnsi="Arial" w:cs="Arial"/>
          <w:b/>
          <w:bCs/>
          <w:sz w:val="22"/>
          <w:szCs w:val="22"/>
        </w:rPr>
        <w:t xml:space="preserve">DoD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 to ensure data protection and user access control via </w:t>
      </w:r>
      <w:r w:rsidRPr="003813CA">
        <w:rPr>
          <w:rStyle w:val="span"/>
          <w:rFonts w:ascii="Arial" w:eastAsia="Century Gothic" w:hAnsi="Arial" w:cs="Arial"/>
          <w:b/>
          <w:bCs/>
          <w:sz w:val="22"/>
          <w:szCs w:val="22"/>
        </w:rPr>
        <w:t xml:space="preserve">CAC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SSO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complex project backlogs through effective refinement and prioritization practices, ensuring that teams delivered consistent, high-caliber results in accordance with strategic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deployment and monitoring of AI-driven features through iterative development cycles, promoting adaptability and responsiveness to stakeholder feedback in a rapid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metrics instrumentation within the application pipeline, capturing performance analytics and allowing for timely identification of bottlenecks and future improvements.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critical software solutions for civil engineering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RESTful APIs that improved workflow efficiencies for planning and contractor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in translating user requirements into detailed technical specifications to create innovative digital solutions for governmental clients in construction and building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introducing automated testing frameworks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and streamline the release process with a commitment to continuous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interfaces for planning management tools built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r w:rsidRPr="003813CA">
        <w:rPr>
          <w:rStyle w:val="span"/>
          <w:rFonts w:ascii="Arial" w:eastAsia="Century Gothic" w:hAnsi="Arial" w:cs="Arial"/>
          <w:b/>
          <w:bCs/>
          <w:sz w:val="22"/>
          <w:szCs w:val="22"/>
        </w:rPr>
        <w:t xml:space="preserve">Material 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streamlined and fluid user experience while adapting to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materials and conducted user workshops to facilitate smooth transitions to new digital solutions, advancing user engagement, satisfaction, and the adoption of new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optimization strategies for existing applications by conducting thorough assessments of backend processes and applying best-practice techniques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cross-team communication to ensure alignment and knowledge sharing among developers, engineers, and project managers, which fostered a cohesive work environment and improved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and reviewed technical documentation that detailed program functionality and data workflows for digital tools, maintaining compliance and aiding future development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mentorship efforts, guiding junior developers in mastering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enhancing team technical capabilities and fostering a culture of learning and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of software issues, employing analytical thinking to resolve complex programming problems and enhance system performance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quality assurance teams to ensure comprehensive testing of civil IT solutions, focusing on delivering high-quality, defect-free software that meets exacting performance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such as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storage solutions, streamlining application performance and maintaining high availability for end-users.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