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extensive experience in full-stack development, specializing in web and mobile applications, leading technical initiatives across teams, and enhancing healthcare solutions. Adept at utilizing TypeScript, Node.js, React, and cloud technologies to drive impactful projects for mental healthcare.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Express.js, Django, Flask, Redux,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MySQL, MongoDB, Redis, DynamoDB, Firebase, Amazon S3,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Terraform, Jenkins, Git, CI/CD,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TensorFlow, PyTorch, Scikit-learn, Natural Language Processing, Machine Learning, AI APIs, Predictive Analytics, Data Visualization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and development of scalable </w:t>
      </w:r>
      <w:r w:rsidRPr="003813CA">
        <w:rPr>
          <w:rStyle w:val="span"/>
          <w:rFonts w:ascii="Arial" w:eastAsia="Century Gothic" w:hAnsi="Arial" w:cs="Arial"/>
          <w:b/>
          <w:bCs/>
          <w:sz w:val="22"/>
          <w:szCs w:val="22"/>
        </w:rPr>
        <w:t xml:space="preserve">EHR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integration of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clinical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 and translate clinical workflows into technological solutions, resulting in improved efficiency in patient care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design reviews and hands-on pair programming sessions, fostering a collaborative culture and enhancing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technical debt and implemented refactoring strategies across shared codebases to improve reliability and performance of the entire application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development practices, including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automated testing, to promote quality and consistency across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advocate the adoption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engineering team, increasing deployment frequency and reducing system downtimes.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service-oriented architecture principles to streamline application communication and improve maintainability of distributed systems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data-driven decision-making by utilizing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application performance metrics and derive actionable insights for product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leverage emerging technologies in healthcare, including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significantly enhancing the value delivered to clinicians and patients.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and retrospective meetings to ensure continuous workflow improvement, aligning team goals with clinical needs and technology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successful transition of legacy systems to modern microservices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simplified deployment process and improved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tools, leading experiments to assess their fit for the organization's roadmap, especially those related to </w:t>
      </w:r>
      <w:r w:rsidRPr="003813CA">
        <w:rPr>
          <w:rStyle w:val="span"/>
          <w:rFonts w:ascii="Arial" w:eastAsia="Century Gothic" w:hAnsi="Arial" w:cs="Arial"/>
          <w:b/>
          <w:bCs/>
          <w:sz w:val="22"/>
          <w:szCs w:val="22"/>
        </w:rPr>
        <w:t xml:space="preserve">mental healthcare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stakeholders to align technical developments with business objectives, ensuring all engineering activities were in line with broader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architectural patterns and design decisions to facilitate team knowledge sharing and onboarding of new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practiced agile methodologies within the team, leading to on-time delivery of critical projects focused on enhancing patient management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digital planning and management systems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bidding and construction process in line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stakeholder feedback into application design processes, enhancing usability for construction managers and inspectors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integrations involving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data visualization tools, ensuring accurate tracking of project progress and facilitating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initiative focused on transitioning project management tools to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fostering collaboration among engineering and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analysts to identify business needs and translated them into technical requirements, directly impacting software directives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to ensure the robustness of applications across different environments, enhancing reliability and minimizing production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sessions, building client confidence in using advanced digital solutions for managing construction workflows, ensuring smooth adoption and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refactoring codebases and enhancing efficiency, resulting in a more robust and maintainable platform for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contributing to the continuous improvement of the team's workflow and productivity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cross-project collaboration on technical initiatives, bridging gaps between software development and civil project management teams for cohesive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modern security practices in compliance with industry regulations, focusing on enhancing data protection measures across all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assessment and deployment of various technological tools tailored for government contracting, ensuring adherence to compliance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