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experience in software development, specialized in designing and implementing scalable backend systems. Proven expertise with Kotlin, NestJS, and cloud services. Strong ability to mentor engineers and drive software architecture advancements, aligning with business strategies and improving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JavaScript, Python, TypeScript, SQL, Golang,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NestJS, Spring Boot, React, GraphQL, Express.js,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Cassandra, Elasticsearch, Firebase, SQLite, SSMS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 Tools:</w:t>
      </w:r>
      <w:r w:rsidRPr="003813CA">
        <w:rPr>
          <w:rFonts w:ascii="Arial" w:eastAsia="Century Gothic" w:hAnsi="Arial" w:cs="Arial"/>
          <w:sz w:val="22"/>
          <w:szCs w:val="22"/>
        </w:rPr>
        <w:t xml:space="preserve"> Datadog, Prometheus, Grafana, NewRelic, Sentry, ELK Stack, CloudWatch,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WebSockets, gRPC, API Gateways, Service Meshes, OAuth,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backend systems at Blend360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seamless integration with both mobile and web clients while facilitating team collaboration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gateways and service mesh architectures that optimized communication across services, significantly enhancing efficiency and reliability of client-server interactions while mentoring team members in best practices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observability practices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performances and troubleshoot issues effectively, leveraging insights to optimize service efficiency and reliability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cutting-edge AI tooling into CI pipelines, enabling significant improvements in software delivery speed and code quality, while fostering a culture of continuous learning and adaptation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during product discovery sessions, translating user needs into technical solutions and architectural designs that aligned with strategic objectives, exemplifying strong communication and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user feedback systematically to identify bottlenecks and drive enhancements that improved system performance, enabling quick adaptations to changing user needs and business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frameworks and libraries that elevated development efficiency, promoting reusable components and shared tooling across the organization, establishing a high standard for software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insights that shaped the technical direction of projects, while ensuring alignment with company goals and user needs to foster a high-performance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coding standards and promote knowledge sharing, enhancing technical expertise across teams and ensuring best practices were adhered to diligently across combined engineering squads.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hands-on guidance and constructive feedback, fostering professional growth aligned with industry standards and encouraging a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simplification of complex systems through innovative design patterns and architectural improvements, driving down technical debt and improving the team’s ability to manage ongoing technical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projects that led to the enhancement of system response times, reliability, and user satisfaction, consistently prioritizing user-centric design to improve overall service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architectural design of key group-critical systems, influencing long-term group strategy and scalability in backend solutions to meet elevated performance requirements for patient engagement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process for new engineers through comprehensive training on project architecture and technology stack, ensuring efficient integration into ongoing projects and fostering immediate value addition to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company’s cloud strategy by driving the adoption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leading to enhanced scalability and reliability of backend services critical for patient acquisition and care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solutions at Infotech that improved the workflow of civil IT projects by integrating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systems to automate construction management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understand user requirements, translating them into technical specifications that improved project delivery timelines and enhanced workflow efficiencies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interaction between application components, contributing to improved data handling and integration for digital solutions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database architectures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data storage solutions for planning, bidding, and inspection, ensuring reliability and efficiency during large-scale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analysis tools to gather insights from user feedback and performance indicators, leading to iterative enhancements in software applications aligned with client needs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discovery and brainstorming sessions, contributing technical insights and fostering innovative thinking that led to the development of user-centric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quality assurance processes for software releases, focusing on reducing bugs and improving user experience to meet industry standards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project best practices and programming standards, facilitating knowledge transfer and fostering a collaborative work environment aimed at delivering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large-scale documentation efforts to ensure technical specifications and architectural designs were clear and accessible for future reference, promoting consistency and quality across the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availability of civil IT applications while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in project reporting through tailored data visualizations and dashboards, enabling stakeholders to visualize progress and make informed decisions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software deployment processes, leveraging CI/CD tools to streamline operations and improve time-to-market for civil IT solutions across diverse project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