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and mobile applications, focusing on Python, PHP, and achieving high availability in backend systems. Proven track record in architecting resilient applications, enhancing system reliability, and mentoring engineering teams to elevate technical excellence. Expertise in designing scalable architecture utilizing AWS, microservices, and implementing observability practices to ensure peak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PHP, JavaScript,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Laravel, Flask, Express,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Docker, Kubernetes, Terraform,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and Methodologies:</w:t>
      </w:r>
      <w:r w:rsidRPr="003813CA">
        <w:rPr>
          <w:rFonts w:ascii="Arial" w:eastAsia="Century Gothic" w:hAnsi="Arial" w:cs="Arial"/>
          <w:sz w:val="22"/>
          <w:szCs w:val="22"/>
        </w:rPr>
        <w:t xml:space="preserve"> Microservices, Event-driven architecture, Service mesh,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Postman,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Performance:</w:t>
      </w:r>
      <w:r w:rsidRPr="003813CA">
        <w:rPr>
          <w:rFonts w:ascii="Arial" w:eastAsia="Century Gothic" w:hAnsi="Arial" w:cs="Arial"/>
          <w:sz w:val="22"/>
          <w:szCs w:val="22"/>
        </w:rPr>
        <w:t xml:space="preserve"> New Relic, Prometheus, Grafana, ELK Stack,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high-availability backend services for consumer applications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connectivity and performance under peak load scenarios to promote a reliable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establish and enforce rigorous </w:t>
      </w:r>
      <w:r w:rsidRPr="003813CA">
        <w:rPr>
          <w:rStyle w:val="span"/>
          <w:rFonts w:ascii="Arial" w:eastAsia="Century Gothic" w:hAnsi="Arial" w:cs="Arial"/>
          <w:b/>
          <w:bCs/>
          <w:sz w:val="22"/>
          <w:szCs w:val="22"/>
        </w:rPr>
        <w:t xml:space="preserve">SLOs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engineering teams through systematic monitoring and proactive observability practices tailored to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critical systems from legacy architectures into scalable and resilient frameworks by implementing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event-driven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that enhanced overall system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cross-functional teams on best practices in system design and programming, effectively bridging knowledge gaps and fostering a culture of technical excellence and collaboration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migration strategies for cloud-native architecture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container orchestration and scaling across microservices.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for civil IT projects, streamlining workflows in planning and construction management while supporting digital solutions that enhance bidding and inspection processes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alongside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intuitive, user-centric interfaces and back-end services for various civil engineering applications, directly improving user interactions and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paperless contracting systems, enhancing efficiency and compliance in project documentation and execution, leveraging cloud infrastructure for data storage and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by fine-tuning database queries and employing caching strategies, significantly reducing latency and improving system response times in high-traffic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