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DevSecOps, security engineering, and compliance management for web and mobile applications in dynamic environments. Comprehensive expertise in building secure cloud infrastructures, ownership of SOC 2 Type 2 and HIPAA compliance, risk management, and team collaboration in remote settings. Aiming to leverage my extensive technical skills and proactive mindset to enhance organizational security posture at Counterpart.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 Bash,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SOC 2 Type 2, HIPAA, NIST, GDPR, OWASP, CIS Controls, SAML,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JIRA, Confluence, Splunk, ELK Stack, Prometheus, Grafana,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Security:</w:t>
      </w:r>
      <w:r w:rsidRPr="003813CA">
        <w:rPr>
          <w:rFonts w:ascii="Arial" w:eastAsia="Century Gothic" w:hAnsi="Arial" w:cs="Arial"/>
          <w:sz w:val="22"/>
          <w:szCs w:val="22"/>
        </w:rPr>
        <w:t xml:space="preserve"> TensorFlow, PyTorch, MLflow, Scikit-learn, Hugging Face, Data Protection, Adversarial AI, Federated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redesign of Counterpart's security function, establishing </w:t>
      </w:r>
      <w:r w:rsidRPr="003813CA">
        <w:rPr>
          <w:rStyle w:val="span"/>
          <w:rFonts w:ascii="Arial" w:eastAsia="Century Gothic" w:hAnsi="Arial" w:cs="Arial"/>
          <w:b/>
          <w:bCs/>
          <w:sz w:val="22"/>
          <w:szCs w:val="22"/>
        </w:rPr>
        <w:t xml:space="preserve">security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enhance the security posture across human and AI agent interactions in a hybrid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automated robust compliance workflows for </w:t>
      </w:r>
      <w:r w:rsidRPr="003813CA">
        <w:rPr>
          <w:rStyle w:val="span"/>
          <w:rFonts w:ascii="Arial" w:eastAsia="Century Gothic" w:hAnsi="Arial" w:cs="Arial"/>
          <w:b/>
          <w:bCs/>
          <w:sz w:val="22"/>
          <w:szCs w:val="22"/>
        </w:rPr>
        <w:t xml:space="preserve">SOC 2 Type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continued adherence to stringent standards while appropriately responding to evolving business needs and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w:t>
      </w:r>
      <w:r w:rsidRPr="003813CA">
        <w:rPr>
          <w:rStyle w:val="span"/>
          <w:rFonts w:ascii="Arial" w:eastAsia="Century Gothic" w:hAnsi="Arial" w:cs="Arial"/>
          <w:b/>
          <w:bCs/>
          <w:sz w:val="22"/>
          <w:szCs w:val="22"/>
        </w:rPr>
        <w:t xml:space="preserve">IT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device management, access control, and internal tools to facilitate onboarding and offboarding processes while promoting best security practices throughout.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proactive threat assessments, evaluating security posture against emerging attack vectors, encompassing </w:t>
      </w:r>
      <w:r w:rsidRPr="003813CA">
        <w:rPr>
          <w:rStyle w:val="span"/>
          <w:rFonts w:ascii="Arial" w:eastAsia="Century Gothic" w:hAnsi="Arial" w:cs="Arial"/>
          <w:b/>
          <w:bCs/>
          <w:sz w:val="22"/>
          <w:szCs w:val="22"/>
        </w:rPr>
        <w:t xml:space="preserve">data poisoning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adversarial inputs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pre-empt vulnerabilities caused by AI technologies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secure </w:t>
      </w:r>
      <w:r w:rsidRPr="003813CA">
        <w:rPr>
          <w:rStyle w:val="span"/>
          <w:rFonts w:ascii="Arial" w:eastAsia="Century Gothic" w:hAnsi="Arial" w:cs="Arial"/>
          <w:b/>
          <w:bCs/>
          <w:sz w:val="22"/>
          <w:szCs w:val="22"/>
        </w:rPr>
        <w:t xml:space="preserve">cloud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and security for the development and deployment of innovative insurance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created sandbox architectures for secure testing of AI agent workloads, successfully mitigating risks associated with production system involvement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security risks and compliance requirements to non-technical stakeholders, ensuring clarity and understanding while driving a shared vision of security initiatives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learning and development initiatives around evolving security standards and regulatory requirements, fostering a culture of security awareness among all staff members remotely.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potential security threats, leveraging tools like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security monitoring and incident response in a fully remote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maintaining best practices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robust security measures for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utilized by the platform for insurance management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outlining security policies and compliance programs, contributing significantly to knowledge management and process transparency within the organization and among remote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management of secure cloud solutions for civil IT projects,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enabling seamless integration of technology-driven processes in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automation, enabling rapid deployment and configuration of secure environments essential for robust project management tools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cybersecurity measures based on industry frameworks such as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delivered solutions met regulatory standards while minimizing risks associated with digital contracting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distribution teams to refine </w:t>
      </w:r>
      <w:r w:rsidRPr="003813CA">
        <w:rPr>
          <w:rStyle w:val="span"/>
          <w:rFonts w:ascii="Arial" w:eastAsia="Century Gothic" w:hAnsi="Arial" w:cs="Arial"/>
          <w:b/>
          <w:bCs/>
          <w:sz w:val="22"/>
          <w:szCs w:val="22"/>
        </w:rPr>
        <w:t xml:space="preserve">identity and access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enhancing security for digital solutions provided to facilitate oversight in public sector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and agile methodologies while working with clients to ensure that project requirements for IT security were not just met, but continually adapted to suit evolving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compliant with </w:t>
      </w:r>
      <w:r w:rsidRPr="003813CA">
        <w:rPr>
          <w:rStyle w:val="span"/>
          <w:rFonts w:ascii="Arial" w:eastAsia="Century Gothic" w:hAnsi="Arial" w:cs="Arial"/>
          <w:b/>
          <w:bCs/>
          <w:sz w:val="22"/>
          <w:szCs w:val="22"/>
        </w:rPr>
        <w:t xml:space="preserve">security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interaction between various software tools utilized in contract management and oversight for clients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auditing of applications and infrastructure, employing vulnerability scanning tools to identify and remediate weaknesses in the system related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security awareness and compliance among teams, delivering training workshops on the implications of compliance with regulations and industry standards while in a hybrid work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