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developing scalable web and mobile applications. Proficient in cloud-native development, microservices architecture, and SaaS solutions, with a strong focus on delivering high-quality code and mentoring teams. Excels in cross-functional collaboration and applying AI technologies in development workflows to enhance efficiency and effectiveness.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JavaScript, Typescript,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Django, Flask,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Kubernetes, Docker,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Elasticsearch, Redis,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OpenID Connect, IAM, SIEM, Zero Trust Architecture, TLS, HTTPS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Confluence, Slack, Visual Studio Code, Eclipse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backend services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Zero Trust Secure Access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(ZTSA)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high availability and scalability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telemetry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ingestion and processing, applying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enhance data analytics capabilities and support proactive security measures across customer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decisions and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directly influencing cross-functional teams to ensure consistent product delivery in alignment with Agile and DevOps methodologies for high-quality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fostered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regular code reviews to improve code quality and maintainability while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programming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technologies with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security teams to translate complex requirements into clear, scalable technical designs, focusing on delivering functionality that met both customer needs and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workflow efficiency and code quality, integrating machine learning algorithms into existing systems to improve the predictive capabilities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products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being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operational reliability and ownership through proactive monitoring and troubleshooting of production systems, demonstrating an ability to quickly identify and mitigate risks during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related to construction management, bidding, and contract administration, while ensuring data integrity and security best practices were applied.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scalable solutions that improved the efficiency of construction project workflows,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quick iterations and responsiveness to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collaboration to translate business requirements into technical specifications, aligning software development efforts with the overarching goals of project management and compliance in infrastructure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streamline CI/CD pipelines, significantly boosting the productivity of development efforts while minimizing downtime and enhancing release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analysis and system optimizations for applications in the construction domain, ensuring reliability and adhering to industry standards for data protection and software support in varying environmental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 migrations by designing scalable solutions that enabled smoother transitions to modern platforms,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