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ability in building and deploying scalable AI systems with a focus on compliance and trust in enterprise workflows. Strong technical expertise in Python, ML/AI systems, and complex problem-solving. Successfully led architecture decisions impacting production AI systems end-to-end, ensuring quality and reliability in large-scale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SQL, Go,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Reinforcement Learning, Computer Vision, Large Language Models (LLMs), Generative Models, Artificial Intelligence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Pinecone, FAISS, Chroma, PostgreSQL, MongoDB, ElasticSearch, Vector Stores,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Workflow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Temporal, Airflow, Django, Flask, FastAPI, Celery,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Evaluation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JUnit, pytest, Selenium, Unit Testing, Integration Testing, Load Testing,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the architecture for production-ready AI systems, ensuring embedded safety guardrails and compliance measures to align with organizational trust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AI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vector databases for improved retrieval accuracy, significantly enhancing the performance of AI-driven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platform teams to refine requirements and deliver technical solutions that address complex compliance challenges in the enterprise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evaluation systems to measure retrieval quality and reasoning accuracy, effectively raising the quality bar for AI systems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in best practices for AI architecture and system deployment across diverse projects, fostering a culture of innovation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outputs to identify patterns of failure or inefficiency, utilizing insights to inform architectural decisions and optimize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workflows, enabling seamless automation and reducing operational friction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align on AI standards and educated stakeholders on the implications of architectural choices on product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thought leadership initiatives by publishing findings on AI best practices and community engagement, raising the profile of the engineering team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complete lifecycle of AI system development from research through iterative testing and deployment, ensuring deliverables met stringent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new tools and technologies to enhance the AI stack, supporting the strategic objectives of the organization and its mission-driven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data integrity and compliance in AI initiatives, ensuring outputs were traceable and adhered to established ethical guidelines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tooling for rapid testing and regression analysis, helping the engineering team iterate confidently based on data-driven insights and evidence-based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feedback and improvement through regular design reviews, increasing overall team efficiency and technical acumen.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community of practice around AI architecture, sharing knowledge and best practices for sustainable development practices in the AI domain.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core features for civil IT applications, focusing on user-friendly solutions for planning and construction management, enhancing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to streamline data handling in construction management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and scalable data storage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technical specifications, translating complex civil engineering requirements into actionable technology solutions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improve deployment efficiency,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 within the civil IT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ensuring timely delivery and adaptability of features to meet evolving project requirements and client expectations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development processes, helping onboard new team members and facilitate smoother project transitions across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integration across various civil engineering applications, promoting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evaluation of third-party technologies to enhance existing digital solutions, ensuring that enhancements aligned with strategic goals and provided strong ROI.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 to refine software usability, resulting in significant improvements in user experience for civil contractors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for software users, ensuring efficient resolution of issues while maintaining satisfaction and functionality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protocols for civil IT applications, enhancing release quality and reducing post-deployment defects through diligent testing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knowledge-sharing sessions, providing insights from civil IT projects to cultivate a culture of learning and collaboration among technical peers.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