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focusing on web and mobile applications. Proven expertise in eCommerce solutions, team leadership, PHP, Magento 2, and AWS infrastructure. Strong background in developing robust applications and mentoring teams, with a commitment to delivering high-quality software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8.3+, JavaScript, CSS, HTML5, SQL, Python,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CMS:</w:t>
      </w:r>
      <w:r w:rsidRPr="003813CA">
        <w:rPr>
          <w:rFonts w:ascii="Arial" w:eastAsia="Century Gothic" w:hAnsi="Arial" w:cs="Arial"/>
          <w:sz w:val="22"/>
          <w:szCs w:val="22"/>
        </w:rPr>
        <w:t xml:space="preserve"> Magento 2, React, Vue.js, Laravel, Zend Framework,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Git, Jenkins, Terraform, New Relic,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NoSQL,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Trello, Asana,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r w:rsidRPr="003813CA">
        <w:rPr>
          <w:rStyle w:val="span"/>
          <w:rFonts w:ascii="Arial" w:eastAsia="Century Gothic" w:hAnsi="Arial" w:cs="Arial"/>
          <w:b/>
          <w:bCs/>
          <w:sz w:val="22"/>
          <w:szCs w:val="22"/>
        </w:rPr>
        <w:t xml:space="preserve">eCommerce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Magento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manage customer-facing solutions with a focus on user-centered design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to enhance their skills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Magento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and encouraging ongoing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multi-site setups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Magento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unique configurations tailored to varied client requirements while ensuring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owners and business stakeholders to align developmental efforts with strategic goals and market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w:t>
      </w:r>
      <w:r w:rsidRPr="003813CA">
        <w:rPr>
          <w:rStyle w:val="span"/>
          <w:rFonts w:ascii="Arial" w:eastAsia="Century Gothic" w:hAnsi="Arial" w:cs="Arial"/>
          <w:b/>
          <w:bCs/>
          <w:sz w:val="22"/>
          <w:szCs w:val="22"/>
        </w:rPr>
        <w:t xml:space="preserve">payment gateways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third-party services such as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Celigo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transactions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Magento extensions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platform capabilities, ensuring compliance with evolving industry standards and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code quality standards and foster a culture of excellence and collective growth among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code and configurations within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knowledge transfer and retention among team members and future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prioritized complex project timelines while effectively communicating progress and addressing potential delivery risks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and debugging initiatives for </w:t>
      </w:r>
      <w:r w:rsidRPr="003813CA">
        <w:rPr>
          <w:rStyle w:val="span"/>
          <w:rFonts w:ascii="Arial" w:eastAsia="Century Gothic" w:hAnsi="Arial" w:cs="Arial"/>
          <w:b/>
          <w:bCs/>
          <w:sz w:val="22"/>
          <w:szCs w:val="22"/>
        </w:rPr>
        <w:t xml:space="preserve">eCommerce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proactive monitoring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site performance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updates and new features were rolled out without disrupting service to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documentation, facilitating smoother project transitions and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identify opportunities for enhancing the eCommerce experience, consistently advocating for innovative, user-friendly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Async/Await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asynchronous processing, resulting in enhanced performance for interactive components of the eCommerce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w:t>
      </w:r>
      <w:r w:rsidRPr="003813CA">
        <w:rPr>
          <w:rStyle w:val="span"/>
          <w:rFonts w:ascii="Arial" w:eastAsia="Century Gothic" w:hAnsi="Arial" w:cs="Arial"/>
          <w:b/>
          <w:bCs/>
          <w:sz w:val="22"/>
          <w:szCs w:val="22"/>
        </w:rPr>
        <w:t xml:space="preserve">advanced CSS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create responsive and adaptive user interfaces that provide excellent experiences across desktop and mobile devices.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digital solutions within the </w:t>
      </w:r>
      <w:r w:rsidRPr="003813CA">
        <w:rPr>
          <w:rStyle w:val="span"/>
          <w:rFonts w:ascii="Arial" w:eastAsia="Century Gothic" w:hAnsi="Arial" w:cs="Arial"/>
          <w:b/>
          <w:bCs/>
          <w:sz w:val="22"/>
          <w:szCs w:val="22"/>
        </w:rPr>
        <w:t xml:space="preserve">Civil IT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systems for project management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design software tools that facilitate the planning and execution of construction projects, promoting efficiency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requirements of applications tailored for construction management, contributing to the project's success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debugging and optimization techniques, enhancing the application’s performance and reliability for high-stakes environments associated with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software solutions with existing digital management tools, ensuring seamless exchange of project data and documentation, which drastically improved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user guides and technical documentation, ensuring that end-users could effectively utilize the software to enhance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external partners to gather feedback for system enhancements, adjusting tools based on real-world civil engineering practices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within project teams, holding regular stand-up meetings to address challenges and align on project goals, fostering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efficient database structures to manage complex data relationships within civil project management applications, leveraging </w:t>
      </w:r>
      <w:r w:rsidRPr="003813CA">
        <w:rPr>
          <w:rStyle w:val="span"/>
          <w:rFonts w:ascii="Arial" w:eastAsia="Century Gothic" w:hAnsi="Arial" w:cs="Arial"/>
          <w:b/>
          <w:bCs/>
          <w:sz w:val="22"/>
          <w:szCs w:val="22"/>
        </w:rPr>
        <w:t xml:space="preserve">SQL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conducting training sessions for new software deployments, ensuring engineering staff were well-versed in digitized planning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validation rules and user interface components that facilitated compliance with civil regulations, enhancing the reliability of software tools in high-stakes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Extracted and analyzed user requirements through interviews and workshops with stakeholders, refining software capabilities to directly address the specific needs of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