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specializing in building and designing robust APIs for web and mobile applications. Proven expertise in AWS, REST, and GraphQL development, ensuring high performance and security standards throughout the API lifecycle, and a strong advocate for Domain-Driven Design principles.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TypeScript, Ruby, Go, PHP,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w:t>
      </w:r>
      <w:r w:rsidRPr="003813CA">
        <w:rPr>
          <w:rFonts w:ascii="Arial" w:eastAsia="Century Gothic" w:hAnsi="Arial" w:cs="Arial"/>
          <w:sz w:val="22"/>
          <w:szCs w:val="22"/>
        </w:rPr>
        <w:t xml:space="preserve"> REST, GraphQL, OpenAPI, Swagger, Postman, Kong, Apigee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AWS Lambda, AWS API Gateway, AWS Step Functions, Terraform, AWS CDK,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DynamoDB, Oracle,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CI/CD, Docker, Kubernetes,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DataDog, New Relic, Grafana, Prometheus, Splunk,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production-grade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mission-critical applications using </w:t>
      </w:r>
      <w:r w:rsidRPr="003813CA">
        <w:rPr>
          <w:rStyle w:val="span"/>
          <w:rFonts w:ascii="Arial" w:eastAsia="Century Gothic" w:hAnsi="Arial" w:cs="Arial"/>
          <w:b/>
          <w:bCs/>
          <w:sz w:val="22"/>
          <w:szCs w:val="22"/>
        </w:rPr>
        <w:t xml:space="preserve">AWS 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through load balancing and robust error handling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IT, and Security to define API contracts, enforcing </w:t>
      </w:r>
      <w:r w:rsidRPr="003813CA">
        <w:rPr>
          <w:rStyle w:val="span"/>
          <w:rFonts w:ascii="Arial" w:eastAsia="Century Gothic" w:hAnsi="Arial" w:cs="Arial"/>
          <w:b/>
          <w:bCs/>
          <w:sz w:val="22"/>
          <w:szCs w:val="22"/>
        </w:rPr>
        <w:t xml:space="preserve">OAuth 2.0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which resulted in increased security compliance across the organization's data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API governance strategies to control interactions with sensitive member data, utilizing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provisioning and deployment processes that streamlined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evolved a serverless architecture with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AWS Step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EventBridge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modular service design which improved scalability and reduced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Domain-Driven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semantic API boundaries that map real-world business concepts, reinforcing clarity in the underlying data architecture and supporting the evolving needs of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the integration of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event-driven communication across microservices, improving data processing efficiency by implementing Change Data Capture (CDC) patterns to streamline data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thorough performance testing and optimization of APIs by introducing intentional pagination strategies and rate-limiting techniques to handle increased loads seamlessly during peak traffic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documentation and onboarding materials, enabling internal teams and external partners to utilize APIs effectively, resulting in a reduced learning curve and enhanced developer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practices with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tracking API metrics to proactively manage performance, leading to timely identification and resolution of potential bottlenecks and errors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by automating deployment pipelines, integrating testing suites that improved code quality and reduced time from development to production significantly in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security practices including versioning strategies and backward compatibility checks in API updates to prevent regressions and maintain smooth transitions between major API versions.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maintenance of Infrastructure as Code (IaC) principles through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infrastructure changes were reversible and maintainable across the development environment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discussions, influencing technical design decisions through insightful feedback based on industry trends around API management and cloud architecture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successful collaboration and knowledge-sharing across engineering teams by conducting technical workshops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architectural patterns and best practices for API development and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developer enablement by creating guides on integrating with internal APIs, improving internal adoption rates and reducing support requests for API-related issues.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with a focus on data-driven architecture, specifically targeting civil IT solutions for project management and stakeholder collaboration processes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analyze and align user needs with technical requirements, ensuring that API design adheres to civil engineering protocols while maintaining high standards of security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 planning as a primary contributor, helping shape project milestones that meet client requirements for digital transformation in civil IT, emphasizing stakeholder feedback to inform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solutions in </w:t>
      </w:r>
      <w:r w:rsidRPr="003813CA">
        <w:rPr>
          <w:rStyle w:val="span"/>
          <w:rFonts w:ascii="Arial" w:eastAsia="Century Gothic" w:hAnsi="Arial" w:cs="Arial"/>
          <w:b/>
          <w:bCs/>
          <w:sz w:val="22"/>
          <w:szCs w:val="22"/>
        </w:rPr>
        <w:t xml:space="preserve">cloud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principles of CI/CD to automate testing and deployment for internal tools supporting project management and digital workflows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robust backend services that support data collection from construction project stakeholders, emphasizing scalable data handling practices and security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Verified API functionality through rigorous unit tests and integration tests, ensuring service reliability, usability, and adherence to coding standards as a foundation for civil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user-facing API documentation tailored for project managers and designers, enhancing the usability of digital tools we provide across construction site management and inspection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bottlenecks and introduced effective caching strategies for high-demand services, maximizing resource utilization and reducing downtime in project delivery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analysis teams to derive requirements for APIs supporting large datasets involved in construction phase reporting and project performance metrics, enhancing user understanding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with client data systems to reinforce user trust in tool functionality, supporting a seamless experience for contractors and project stakeholders through API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setting best practices for managing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our civil engineering tools leveraging </w:t>
      </w:r>
      <w:r w:rsidRPr="003813CA">
        <w:rPr>
          <w:rStyle w:val="span"/>
          <w:rFonts w:ascii="Arial" w:eastAsia="Century Gothic" w:hAnsi="Arial" w:cs="Arial"/>
          <w:b/>
          <w:bCs/>
          <w:sz w:val="22"/>
          <w:szCs w:val="22"/>
        </w:rPr>
        <w:t xml:space="preserve">OAuth 2.0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standards to safeguard sensitive project data during transit and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platform migrations by aligning API resources during introduction of new technologies in project management suites, ensuring a smooth transition for users reliant on digital construction tools.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