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C#, .NET, and Angular. Proven expertise in customer-facing roles, architecting solutions, and driving successful technology implementations. Skilled in leveraging advanced technologies, including n8n, LLMs, and RAG for enhanced workflow automation and business processes. Strong communication skills enhance collaboration across technical and non-technical stakeholders, aiming to accelerate client success and provide rapid time-to-value.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 CSS,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ASP.NET, Angular, React, Node.js, Bootstrap, jQuery,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 Tools:</w:t>
      </w:r>
      <w:r w:rsidRPr="003813CA">
        <w:rPr>
          <w:rFonts w:ascii="Arial" w:eastAsia="Century Gothic" w:hAnsi="Arial" w:cs="Arial"/>
          <w:sz w:val="22"/>
          <w:szCs w:val="22"/>
        </w:rPr>
        <w:t xml:space="preserve"> Docker, Kubernetes, Git, CI/CD, Jenkins, n8n,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Microsoft SQL Server, Oracle, SQLite,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Heroku, Microsoft Power Platform, Firebase, IBM Cloud, Digital 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Patterns:</w:t>
      </w:r>
      <w:r w:rsidRPr="003813CA">
        <w:rPr>
          <w:rFonts w:ascii="Arial" w:eastAsia="Century Gothic" w:hAnsi="Arial" w:cs="Arial"/>
          <w:sz w:val="22"/>
          <w:szCs w:val="22"/>
        </w:rPr>
        <w:t xml:space="preserve"> Microservices, REST APIs, GraphQL, Event-Driven, Serverless, MVC, MVVM, Containerization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Senior Software Engineer at Blend360, Sep 2020 – Aug 2025</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Software Engineer at Infotech Inc, Jul 2014 – Apr 2020</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