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over 11 years of experience in software development, focusing on AI and MLOps infrastructure for web and mobile applications. Proven expertise in AWS, LLM, and production AI systems to drive innovation in healthcare technology, enhancing system reliability and governance.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AI/MLOps Tools:</w:t>
      </w:r>
      <w:r w:rsidRPr="003813CA">
        <w:rPr>
          <w:rFonts w:ascii="Arial" w:eastAsia="Century Gothic" w:hAnsi="Arial" w:cs="Arial"/>
          <w:sz w:val="22"/>
          <w:szCs w:val="22"/>
        </w:rPr>
        <w:t xml:space="preserve"> MLOps, TensorFlow, PyTorch, Kubeflow,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Flask,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Travis CI,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Prometheus, Grafana, ELK Stack, New Relic,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production AI platform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establishing automated model management processes to ensure reliable performance and streamlined deployment across multiple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core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components, integrating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advanced analytics and retrieval-augmented generation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efficiencies in healthcare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engineering teams to create reusable platform services and tooling that enabled rapid and safe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experimentation while adhering to strict operational governance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evaluation frameworks and regression testing protocols that boosted model reliability and enhanced the observability of system health and performance metrics across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through continuous integration and continuous deployment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smooth transitions from development to production phases for all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architectural patterns for LLM-based applications, facilitating efficient orchestration and scalable service delivery with improved model hosting capabilities and API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engineering teams to adopt best practices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governance and reliability, promoting a culture of innovation and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monitoring and logging strategies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transitioning from reactive to proactive system health management and providing comprehensive insights into operational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product roadmaps to prioritize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ensuring alignment with company objectives and healthcare industry standards, driving continuous improvement and market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advocating for innovative solutions in system design that enhance scalability, security, and performance across the platform, fostering an agile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risk assessments and collaborated with Security and Compliance teams to ensure all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adhered to </w:t>
      </w:r>
      <w:r w:rsidRPr="003813CA">
        <w:rPr>
          <w:rStyle w:val="span"/>
          <w:rFonts w:ascii="Arial" w:eastAsia="Century Gothic" w:hAnsi="Arial" w:cs="Arial"/>
          <w:b/>
          <w:bCs/>
          <w:sz w:val="22"/>
          <w:szCs w:val="22"/>
        </w:rPr>
        <w:t xml:space="preserve">PHI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-safe design principles while addressing regulatory requirements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the infrastructure for model hosting and training pipelines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streamlining the operations of machine learning models throughout the development lifecycle and enhancing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external AI capabilities into proprietary systems, deftly managing the migration process to allow for internal ownership and operational control of critical technology assets and core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knowledge bases to facilitate onboarding and ensure team members retained a clear understanding of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 place and their operational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support planning, bidding, and construction management, ensuring smooth operations and robust user experiences across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integrating data analytics solutions that improve insights and operational efficiencies in construction and engineering processes, leveraging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reliability of digital tools utilized in managing construction projects and documentation workflows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towards a paperless contracting system by developing APIs and services that automate data flow and improve team collaboration in project bidding and management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technologies to optimize data storage solutions for project data, ensuring easy retrieval and efficient data management practices across multiple projects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to uplift technical acumen and ensure proper system utilization, focusing on digital solutions that made project management more intuitive and effective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development pipelines and workflows with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accelerated release cycles for software updates while maintaining high-quality standards throughout the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troubleshot application performance issues, implementing monitoring solutions that utilize tools like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diagnose issues and proactively mitigate risks in the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reviews to ensure compliance with the latest digital standards and best practices in the construction technology domain, fostering an organizational emphasis on high-quality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partners to ensure seamless integration of new technologies and solutions that align with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in the construction sector, driving innovation and synergy.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out numerous software tools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catered specifically to civil engineering applications, focusing on the enhancement of user interfaces and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culture within the team while providing practical insights into software development principles related to the civil IT landscape and emerging technology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