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robotics, web, and mobile applications. Proven track record in leveraging innovative technologies to drive significant improvements in robotics performance and client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JavaScript, Java, Rust,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Robotics Frameworks:</w:t>
      </w:r>
      <w:r w:rsidRPr="003813CA">
        <w:rPr>
          <w:rFonts w:ascii="Arial" w:eastAsia="Century Gothic" w:hAnsi="Arial" w:cs="Arial"/>
          <w:sz w:val="22"/>
          <w:szCs w:val="22"/>
        </w:rPr>
        <w:t xml:space="preserve"> ROS, MoveIt Pro, Gazebo, OpenRAVE, V-REP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w:t>
      </w:r>
      <w:r w:rsidRPr="003813CA">
        <w:rPr>
          <w:rFonts w:ascii="Arial" w:eastAsia="Century Gothic" w:hAnsi="Arial" w:cs="Arial"/>
          <w:sz w:val="22"/>
          <w:szCs w:val="22"/>
        </w:rPr>
        <w:t xml:space="preserve"> TensorFlow, Keras, PyTorch, scikit-learn,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MySQL,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robotic algorithms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MoveIt Pro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autonomous navigation and manipulation capabilities to address complex real-world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environments for consistent deployment of robotic applications across various platforms, ensuring seamless integration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software solutions for diverse applications,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space robotics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 manipulation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systems and algorithm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machine learning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scikit-learn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object recognition in robotic systems, increasing system adaptability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agile practices within software teams, promoting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deployment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delivery timelines and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phases of software development lifecycle,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collaborating effectively within a team-focused environment to ensure timely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cutting-edge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Gazebo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simulation testing of robotic prototypes, enabling safe and efficient performance assessments before real-world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optimization techniques for robotic systems, resulting in improved energy consumption and processing efficiency, aligning solutions with clients' commercial needs and sustainability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peers, fostering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knowledge sharing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development team to elevate overall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within the robotics community, enhancing personal expertise while giving back to the ecosystem through active participation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forums and conferences.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software interfaces for robotic systems, enhancing usability for non-technical clients engaged in scientific and industrial automation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software development and robotics programming, promoting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improvement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professional growth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understand their needs and provided technical expertise, ensuring solutions aligned with their specific applications and requirements in the robotics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user guides, improving on-boarding processes for new team members and contributing to the overall efficiency of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for robotics modules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testing frameworks, systematically identifying and addressing potential issues pre-deployment.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focused on automating planning, bidding, and construction management processes, paving the way for paperless contracting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user interfaces for web applications, ensuring seamless user experiences and improved client engagement during project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robust data management for construction project tracking systems within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requirements analysis and collaborated with stakeholders to deliver tailored software solutions that addressed unique challenges faced in the construction and engineering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comprehensive project documentation and technical specifications, significantly enhancing communication and clarity among team members and stakeholders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to facilitate data exchange between frontend applications and server-side processes, ensuring all components of civil IT solutions were well-integrated and operational.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and optimizing existing software components to improve performance and user satisfaction for web-based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and workshops focused on new technologies relevant to software development in civil engineering, enhancing team capabilities and performance 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software projects, allowing for flexibility and rapid response to changes or challenges in project requirements and stakeholder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tests and end-to-end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and reliability of software components deployed in civil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ensure the successful integration of digital solutions into existing workflows, significantly enhancing productivity and client satisfaction across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emerging technologies and programming languages, contributing to enhanced team expertise and competitive advantage in software solutions for civil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