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Skilled in various programming languages, frameworks, and best practices, with a strong focus on collaboration and delivering 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Xamarin,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RESTful APIs and enhancing user interfaces based on client requirements to ensure seamless user experiences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 and deliver high-quality software solutions, adapting to dynamic project needs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web applications, optimizing performance, and improving site reliability, which significantly enhanced client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various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efficient code integration, automated testing, and deployment processes that ensured rapid delivery of enhancements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environment and promoting the best coding practices that align with industry standards and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robustness and meet high-quality assurance standards, leading to reduced production issues and improved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adherence to the latest web standards while enhancing the overall aesthetic value of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issues and optimize performance metrics based on real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translate designs into functional and aesthetically pleasing web applications, ensuring that end-user requirements were met and exceeded, fostering client trust and loyalty.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methodologies to create dynamic data-driven applications, ensuring efficient data retrieval and management that significantly improved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meetings to discuss workflows, offer solutions, and enhance project delivery pipelines, employing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user interface to facilitate planning and management for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gather requirements, translate them into technical specs, and implement features that support digital solutions for bidding and inspection processes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workflows through innovative software solutions, reducing overhead costs for construction firms and improving document management and approval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developing mobile-responsive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 real-time project tracking and updates for clients in the civil IT sector, contributing to increased productivity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data effectively, ensuring data integrity and optimized performance for client operations, which facilitated smoother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visual representations of project statuses, enhancing user engagement and providing valuable insights for construction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oversee project timelines, ensuring that deliverables were met while accommodating for changes prompted by client feedback or project evolution.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clients on new digital tools, fostering adoption and ensuring that end users were comfortable navigating software solutions in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application testing and debugging,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reliability and performance, contributing to a highly-ranked software solution for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architects to design scalable and secure architecture solutions, which supported multiple concurrent users in high-demand environments synonymous with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maintenance for legacy systems, ensuring continuity for clients transitioning to new software solutions while minimizing disruptions during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services for enhanced functionality, ensuring that clients could utilize advanced features that streamlined their project management and execution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