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web and mobile applications. Proficient in designing scalable microservices, cloud-native architectures, and integrations for healthcare solutions. Strong expertise in Java, Spring Boot, and AWS, with a focus on secure coding practices and collaboration across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NoSQL, HTML, CSS,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Spring Boot, Spring Cloud, Hibernate, Express.js, Angular,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GitLab CI, Jenkins, Terraform, Apache Kafka,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HL7, FHIR, Mirth Connect, REST APIs, SOAP, GraphQL, Message Brokers, Event Streaming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RDS, DynamoDB, S3,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for healthcare applications, improving scalability and maintainability,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for leading EHR platforms such as Epic and Cerner,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enhance interoperability and data exchange standards within healthcare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 cloud-native e-prescribing solution, focusing on high availability and fault tolerance to ensure timely medication management for patients.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core message broker for real-time event streaming between services, optimizing data flow and system responsiveness under peak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testing, deployment, and monitoring, leading to faster development cycles and higher quality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security, conducting regular code reviews and participating in penetration testing to safeguard patient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 practices, fostering a culture of continuous improvement and skill enhancement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observability tools and logging frameworks to monitor service performance, enabling proactive identification and resolution of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contributed to sprint planning, ensuring effective communication and progress tracking among team members, while accommodating changes in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into existing frameworks, enhancing system capabilities and keeping pace with industry trends in healthcare IT and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web-based applications for civil IT projects, improving user experience and functionality in planning and construction management workflows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designing solutions tailored for digital bidding and contract management, streamlining processes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data processing for projects involving inspection and compliance monitoring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layers connecting analysis tools and databases for real-time data access, significantly improving decision-making processes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bridging teams across various functions to enhance project visibility and encourage adaptive planning for ongoing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SQL and NoSQL databases, ensuring high performance and availability of applications serving civil engineering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 teams on using digital solutions effectively, ensuring smooth transitions and increased adoption of technology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technical specifications to aid in the development lifecycle and ensure compliance with regulatory standards related to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