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web and mobile applications. Expertise in crafting high-performance React applications and optimizing user experience. Proficient in state management and building scalable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GraphQL, NextAuth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Styling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SASS, SCSS, Styled Components,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Figma,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Query, GSAP, Three.js, Cypress,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refined sleek, high-quality user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turning low-fidelity wireframes into visually stunning applications that enhance user engagement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create pixel-perfect designs, focusing on animations and transitions through the powerful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library to ensure smooth and engaging interactions across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frontend performance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like SSR and SSG, ensuring fast load times and a superior user experience, while collaborating closely with designers to align on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architecture reviews and implemented core frontend technologies, resulting in enhanced maintainability and scalability for applications designed to meet high user demands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planning sessions, demonstrating adaptability and effective communication skills while collaborating with cross-functional teams to meet rigorous development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caching strategies and CDN integrations to improve the performance and scalability of applications, ensuring a seamless experience for global users during peak traffic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large-scale migrations from traditional React setups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architecting solutions leveraging its strengths to enhance user-centric features and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sophisticated internationalization and localization features into various projects, making applications more accessible to diverse user bases across regions while maintaining a strong focus on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civil engineering project management tools focused on digital solutions for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solutions in civil IT, emphasizing efficient bidding processes and paperless contracting, supporting project management from conception to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backend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conjunction with frontend architectures, building robust APIs that facilitate interactions between client-side applications and server-side processes while adhering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in complex applications, supporting smooth transitions and efficient data flow between various components to optimize user interactions and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for code quality, promoting a culture of continuous learning and improvement among team members while advancing overall software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cross-browser compatibility issues, ensuring high-quality user experiences across a range of devices and platforms while tailoring solutions for civil engineering stakeholders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