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web and mobile applications. Proficient in integrating and transforming data from disparate sources and developing efficient processing pipelines. Demonstrated ability in using diverse technologies to enhance healthcare outcomes through innovative data solutions and systems integration.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MongoDB, Redis, ElasticSearch,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Docker, Kubernetes, AWS,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Integration &amp; Messaging:</w:t>
      </w:r>
      <w:r w:rsidRPr="003813CA">
        <w:rPr>
          <w:rFonts w:ascii="Arial" w:eastAsia="Century Gothic" w:hAnsi="Arial" w:cs="Arial"/>
          <w:sz w:val="22"/>
          <w:szCs w:val="22"/>
        </w:rPr>
        <w:t xml:space="preserve"> RabbitMQ, Kafka, HL7, FHIR, DICOM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Frameworks:</w:t>
      </w:r>
      <w:r w:rsidRPr="003813CA">
        <w:rPr>
          <w:rFonts w:ascii="Arial" w:eastAsia="Century Gothic" w:hAnsi="Arial" w:cs="Arial"/>
          <w:sz w:val="22"/>
          <w:szCs w:val="22"/>
        </w:rPr>
        <w:t xml:space="preserve"> Apache Spark, Pandas, NumPy, Apache Airflow, ETL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ETL pipelines in Python to integrate messy oncology data into normalized schemas, enhancing data usability across multiple systems and applications without direct oversight by senior staff.</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monitoring systems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stability and performance while addressing data infrastructure challenges in a high-concurrency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data warehousing solutions that significantly improved real-time analytics capabilities within clinical environments, supporting decision-making for cancer treatment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clinical data standards such as </w:t>
      </w:r>
      <w:r w:rsidRPr="003813CA">
        <w:rPr>
          <w:rStyle w:val="span"/>
          <w:rFonts w:ascii="Arial" w:eastAsia="Century Gothic" w:hAnsi="Arial" w:cs="Arial"/>
          <w:b/>
          <w:bCs/>
          <w:sz w:val="22"/>
          <w:szCs w:val="22"/>
        </w:rPr>
        <w:t xml:space="preserve">HL7</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FHIR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DICOM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interoperability and integration with major Electronic Medical Records systems, ensuring compliance and efficiency in data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code to incorporate asynchronous programming techniques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performance and responsiveness in data processing tasks, directly impacting patient data retrieval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alongside established clinical workflows, ensuring seamless integration of predictive models within existing software solutions to aid physicians' clinical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technical mentorship to junior engineers, fostering a culture of collaboration and knowledge sharing that improved overall team productivity and code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de-identification techniques, ensuring the protection of patient information while supporting research initiatives, by employing advanced algorithms and privacy-preserving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team efforts in developing a community-driven documentation initiative, improving resource availability and knowledge sharing across development teams on various platforms and tools used.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data sources to enrich oncology datasets through careful validation and adjustments to existing ETL pipelines, demonstrating a strategic approach to data evolution and refinement.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and architectural discussions, contributing insights on scalability and system performance that led to the successful release of several high-impact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comprehensive data analysis and transformation, boosting the information yield from raw clinical data for analytical and reporting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for </w:t>
      </w:r>
      <w:r w:rsidRPr="003813CA">
        <w:rPr>
          <w:rStyle w:val="span"/>
          <w:rFonts w:ascii="Arial" w:eastAsia="Century Gothic" w:hAnsi="Arial" w:cs="Arial"/>
          <w:b/>
          <w:bCs/>
          <w:sz w:val="22"/>
          <w:szCs w:val="22"/>
        </w:rPr>
        <w:t xml:space="preserve">civil IT projects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construction management solutions that enabled real-time bidding and inspection processes through streamlined digital modules and tool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microservices for data processing applications, leveraging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enhancing data accessibility and operational workflows for civil planning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design and implement </w:t>
      </w:r>
      <w:r w:rsidRPr="003813CA">
        <w:rPr>
          <w:rStyle w:val="span"/>
          <w:rFonts w:ascii="Arial" w:eastAsia="Century Gothic" w:hAnsi="Arial" w:cs="Arial"/>
          <w:b/>
          <w:bCs/>
          <w:sz w:val="22"/>
          <w:szCs w:val="22"/>
        </w:rPr>
        <w:t xml:space="preserve">mobile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 paperless contracting processes, improving data input accuracy and enhancing user experiences across diverse fields.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third-party APIs into internal tools to streamline communication and operational efficiencies, directly impacting project delivery timelines and service quality within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of applications from monolithic architectures to microservice architectures, enhancing scalability and maintainability of the codebase in compliance with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CI/CD pipelines to automate testing and deployment, improving software release cycles and reducing downtime of critical applications utilized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Improving database performance through query optimization and indexing strategies in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quick data retrieval and responsiveness for high-demand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interfaces that align with end-users’ needs, enhancing usability and engagement with applications developed for civil engineering projects and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scrum meetings to provide updates on development progress and align on emerging project scopes, ensuring transparency and communication within cross-disciplinary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internal libraries that encapsulate best practices in coding, further streamlining development efforts while ensuring adherence to coding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strategies using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reliability and performance tracking for software solutions designed for civil IT-related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and created comprehensive user documentation to empower project stakeholders in effectively utilizing new software solutions and features.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