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Proven expertise in HTML, CSS, and modern JavaScript frameworks such as React, Next.js, and SvelteKit. Adept at collaborating in fast-paced environments to deliver optimized solutions that enhance user experience and performance. Eager to leverage strong technical acumen in a remote team to drive customer-centered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SvelteKit,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GraphQL, Postman, Axios, Figma,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Platforms:</w:t>
      </w:r>
      <w:r w:rsidRPr="003813CA">
        <w:rPr>
          <w:rFonts w:ascii="Arial" w:eastAsia="Century Gothic" w:hAnsi="Arial" w:cs="Arial"/>
          <w:sz w:val="22"/>
          <w:szCs w:val="22"/>
        </w:rPr>
        <w:t xml:space="preserve"> Contentful, WordPress, Shopify, Ionic, Drupal, Adobe Experience Manager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SEO, Web Performance, Lighthouse, webpack-bundle-analyzer, Jest,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Node.js, npm, Yarn, Docker, VSCode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Enzyme, Cypress, Mocha, Chai,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user interface and overall user experience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components and libraries to streamline development processes, enhancing code maintainability while adhering to best practices and ensuring scalability in front-end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requirements and translate them into technical solutions, demonstrating strong communication and problem-solving skills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focusing on efficient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web applications met modern accessibility standards and improved loading times for increased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with a focus on modularity and readability, utilizing tools such as </w:t>
      </w:r>
      <w:r w:rsidRPr="003813CA">
        <w:rPr>
          <w:rStyle w:val="span"/>
          <w:rFonts w:ascii="Arial" w:eastAsia="Century Gothic" w:hAnsi="Arial" w:cs="Arial"/>
          <w:b/>
          <w:bCs/>
          <w:sz w:val="22"/>
          <w:szCs w:val="22"/>
        </w:rPr>
        <w:t xml:space="preserve">ESLint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Prettier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code quality standards and ensure consistency within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integrations of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seamless data flow between front-end components and back-end services, improving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diagnosing performance bottlenecks using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targeted improvements, resulting in enhanced loading speeds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methodologies, providing input during sprint planning, and collaborating with team members to prioritize features and address technical debt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establishing CI/CD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time-to-market for new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learning and collaboration focused on best practices in software development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technical specifications and user guides, ensuring clarity and facilitating knowledge transfer among team members and stakeholders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endpoints met the functional requirements set forth in user stories, resulting in increased reliability and stability of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designs to ensure compatibility across various devices, enhancing accessibility for all users while maintaining a visually appealing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client ideas into working proof-of-concept applications, showcasing potential solutions that aligned with their business goals and technical feasibility prior to full-scale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retrospectives to identify areas for improvement in team processes, applying lessons learned to future sprints to enhance productivity and deliverable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for civil IT solutions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interface for project management applications tailored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ingestion of civil engineering data, ensuring service continuity and application responsiveness across diverse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technical requirements for custom features in civil IT tools, translating stakeholder feedback into actionable development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in various civil solution applications, significantly reducing bugs and improving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 data into applications, providing enhanced features that facilitated project tracking and management for users in construction and engineering fields.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proposing updates to framework versions that aligned with industry standards and improved overall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guides for front-end components in civil IT systems, ensuring clarity for future updates and maintenance by development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