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scalable backend systems and web applications. Proven expertise in Java, Spring Boot, and REST APIs, with strong problem-solving capabilities and a commitment to engineering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Node.js, Express.js, Hibernate,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 CSS, RESTful Services, GraphQL,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Cassandra,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Tools:</w:t>
      </w:r>
      <w:r w:rsidRPr="003813CA">
        <w:rPr>
          <w:rFonts w:ascii="Arial" w:eastAsia="Century Gothic" w:hAnsi="Arial" w:cs="Arial"/>
          <w:sz w:val="22"/>
          <w:szCs w:val="22"/>
        </w:rPr>
        <w:t xml:space="preserve"> Salesforce, MuleSoft,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performance across various internal platforms and support user operations in challenging contexts.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interactions between client-facing applications and backend services, facilitating the integration with various Salesforce functions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participated in architecture discussions, and proposed solutions that align with ongoing business and regulatory needs, fostering strong stakeholder relationships.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integration, and deployment processes, significantly improving code quality and development velocity with robust version control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complex issues across service integrations and data pipelines, utilizing logging, metrics, and alerting to enhance operational excellence and system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cloud-based applications integrating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exchange and enhancing operational workflows within civil engineering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user-facing internal tools, collaborating with frontend engineers and product managers to translate business requirements into technical specifications and ensuring a user-centric application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maintaining documentation for internal processes and systems, providing insights into design choices, architecture, and operational workflows that benefit cross-team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 meetings, emphasizing clear communication of technical decisions and trade-offs while fostering a culture of continuous improvement and learning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