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designing and implementing advanced AI and machine learning solutions for diverse applications. Proven expertise in Python, R, Go, and Java, with strong background in data architecture and collaborative project management to drive organizational innovations in defense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Go, Java, C++, JavaScript, SQL,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Keras, Scikit-learn, Flask, Django,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Analysis:</w:t>
      </w:r>
      <w:r w:rsidRPr="003813CA">
        <w:rPr>
          <w:rFonts w:ascii="Arial" w:eastAsia="Century Gothic" w:hAnsi="Arial" w:cs="Arial"/>
          <w:sz w:val="22"/>
          <w:szCs w:val="22"/>
        </w:rPr>
        <w:t xml:space="preserve"> Pandas, NumPy, Hadoop, Spark, Tableau, Power BI, Apache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Gradle, Ansible, Terraform,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Architecture &amp; Visualization:</w:t>
      </w:r>
      <w:r w:rsidRPr="003813CA">
        <w:rPr>
          <w:rFonts w:ascii="Arial" w:eastAsia="Century Gothic" w:hAnsi="Arial" w:cs="Arial"/>
          <w:sz w:val="22"/>
          <w:szCs w:val="22"/>
        </w:rPr>
        <w:t xml:space="preserve"> Data Warehousing, ETL Processes, MongoDB, PostgreSQL, Data Lakes, SSIS, Grafana, QlikView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led the development of full-stack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tailored to meet complex business challenges within the defense sector, employing cutting-edge technologies for optimal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domain experts and stakeholders to translate intricate business requirements into robust </w:t>
      </w:r>
      <w:r w:rsidRPr="003813CA">
        <w:rPr>
          <w:rStyle w:val="span"/>
          <w:rFonts w:ascii="Arial" w:eastAsia="Century Gothic" w:hAnsi="Arial" w:cs="Arial"/>
          <w:b/>
          <w:bCs/>
          <w:sz w:val="22"/>
          <w:szCs w:val="22"/>
        </w:rPr>
        <w:t xml:space="preserve">technical specifications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cross-functional communication framework for effective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 team of junior engineers, providing mentorship and technical guidance in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 development, fostering knowledge exchange and enhancing team competencies in innovative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prototypes to assess technology readiness and scalability, pushing boundaries of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yield viable production-ready outcomes, closely monitoring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utilizing advanced statistical techniques and data visualization practices, ensuring high performance and accuracy in predictive analytics across operational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strategies using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streamlining workflows to ensure efficient implementation of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complex findings and recommended solutions to both technical and non-technical stakeholders effectively, ensuring clarity and alignment on key project deliverables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data architecture strategies to support extensive </w:t>
      </w:r>
      <w:r w:rsidRPr="003813CA">
        <w:rPr>
          <w:rStyle w:val="span"/>
          <w:rFonts w:ascii="Arial" w:eastAsia="Century Gothic" w:hAnsi="Arial" w:cs="Arial"/>
          <w:b/>
          <w:bCs/>
          <w:sz w:val="22"/>
          <w:szCs w:val="22"/>
        </w:rPr>
        <w:t xml:space="preserve">data 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real-time analysis capabilities, significantly enhancing operational readiness and data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ensuring compliance with </w:t>
      </w:r>
      <w:r w:rsidRPr="003813CA">
        <w:rPr>
          <w:rStyle w:val="span"/>
          <w:rFonts w:ascii="Arial" w:eastAsia="Century Gothic" w:hAnsi="Arial" w:cs="Arial"/>
          <w:b/>
          <w:bCs/>
          <w:sz w:val="22"/>
          <w:szCs w:val="22"/>
        </w:rPr>
        <w:t xml:space="preserve">DoD regulations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maximized data accuracy, and maintained organizational integrity amidst challenging project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on top of current industry trends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to innovate our product offerings while maintaining keen focus on customer-centric design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of the AI project lifecycle, ensuring knowledge transfer and continuity for ongoing and future endeavors in the overall project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of </w:t>
      </w:r>
      <w:r w:rsidRPr="003813CA">
        <w:rPr>
          <w:rStyle w:val="span"/>
          <w:rFonts w:ascii="Arial" w:eastAsia="Century Gothic" w:hAnsi="Arial" w:cs="Arial"/>
          <w:b/>
          <w:bCs/>
          <w:sz w:val="22"/>
          <w:szCs w:val="22"/>
        </w:rPr>
        <w:t xml:space="preserve">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products, collaborating strategically with product managers and UX/UI designers to enhance user experience through effective technology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cross-departmental meetings, infusing a culture of collaboration and shared vision innovatively to align project goals with the overarching business mission.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aimed at skilling up junior engineers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capabilities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organizational environment that prioritizes innovation, fostering team dynamics that encourage creativity and proactive problem-solving, crucial in high-stakes project scenarios.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in the civil IT sector, applying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support planning,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construction management applications, effectively enhancing project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series of scalable and secure software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seamless data integration for stakeholders involved in construction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project metrics and KPIs clearly, enabling effective decision-making amongst civil engineering teams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automated solutions for construction project management processes,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various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leading to significant operational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technical staff to define scope and requirements for software applications, ensuring alignment with civil IT business objectives and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technical assessments of software projects, implementing best practices in </w:t>
      </w:r>
      <w:r w:rsidRPr="003813CA">
        <w:rPr>
          <w:rStyle w:val="span"/>
          <w:rFonts w:ascii="Arial" w:eastAsia="Century Gothic" w:hAnsi="Arial" w:cs="Arial"/>
          <w:b/>
          <w:bCs/>
          <w:sz w:val="22"/>
          <w:szCs w:val="22"/>
        </w:rPr>
        <w:t xml:space="preserve">software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quality assurance to elevate project outcomes and team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assistance for deployed applications, ensuring continuous operational functionality and addressing end-user concerns effectively within project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meetings for new features, offering insights based on user feedback and industry best practices to enhance application usability and functionality for civil engineering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sharing through documentation and presentations, fostering an atmosphere of learning and collaboration in an evolving technical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initiatives, keeping abreast of advancements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exploring their implications for civil IT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workflows that allowed efficient data retrieval and management, enhancing overall performance of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discussions to frame project objectives and success criteria, ensuring deliverables meet both technical requirements and strategic project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