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software development, specializing in web and mobile applications. Proven track record in ServiceTitan development, API integration, and strong proficiency in JavaScript, SQL, and Python.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SQL,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React,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ServiceTitan, Zapier, Twilio,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Jira,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customized features on the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improving operational efficiency and enhancing user experiences through tailored solutions that align with the business's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new functionalities on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them into robust technical solutions that cater to diverse departmental needs and improve overall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integrations with other software platforms, ensuring seamless data exchange and user experience across tools and enhancing the value proposition of the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testing and updates to the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to ensure reliability, robustness, and fault tolerance, actively resolving issues and implementing improvements identified through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technical support and training sessions on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team members, empowering them to leverage the platform effectively and enhancing the overall productivity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Remained informed about the latest features and updates in the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evaluating their potential business implications and integrating relevant enhancements into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abilities to address technical challenges swiftly, applying analytical thinking to resolve integration issues and refine existing software functionalities for enhanced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communication with stakeholders to ensure transparency of project progress and alignment of technical efforts with business goals, demonstrating excellent interpersonal and collaboration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software development lifecycle within the company, implementing best practices in coding standards, team collaboration, and process optimization to maximize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features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demonstrating adaptability and creativity in tailoring solutions that meet diverse customer needs in the home services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my expertise in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external applications with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functionality and interoperability of our systems and tools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fostering a culture of iterative improvement and collaboration among team members, which led to stronger outputs and increased team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actionable insights and feedback from training sessions to improve the documentation and user guides for the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resources are up-to-date and relevant for all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agile methodologies, fostering a collaborative environment that promotes quick iterations and effective problem resolution, significantly enhancing our team's responsiveness to 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sharing knowledge and expertise on </w:t>
      </w:r>
      <w:r w:rsidRPr="003813CA">
        <w:rPr>
          <w:rStyle w:val="span"/>
          <w:rFonts w:ascii="Arial" w:eastAsia="Century Gothic" w:hAnsi="Arial" w:cs="Arial"/>
          <w:b/>
          <w:bCs/>
          <w:sz w:val="22"/>
          <w:szCs w:val="22"/>
        </w:rPr>
        <w:t xml:space="preserve">ServiceTitan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coding best practices, and the importance of effective communication within software development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various clients in the civil IT sector, focusing on digital tools for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improve efficiency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to develop tailored applications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intuitive designs and seamless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collaborated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clear and concise project documentation to streamline development processes and ensure alignment with client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that facilitate inspection and reporting in the construction industry,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interfaces for end-users in the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thorough testing protocol for software applications, utilizing automated and manual testing methods to ensure software reliability and compliance with industry standards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feedback sessions to gather insights on existing applications, utilizing this feedback to implement feature enhancements and improve user satisfaction and adoption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to gather requirements for construction management applications, ensuring that development aligns with both user needs and regulatory requirements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lifecycle and enhancing the overall deployment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stakeholders on new software functionalities, fostering greater user adoption and ensuring that clients are able to leverage the full capabilities of the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create mockups and prototypes, translating design concepts into functional user interfaces for various civil IT applications that enhance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by preparing user manuals and technical specifications for software implementation, ensuring clarity and consistency in communications with stakeholders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platforms, applying knowledge of </w:t>
      </w:r>
      <w:r w:rsidRPr="003813CA">
        <w:rPr>
          <w:rStyle w:val="span"/>
          <w:rFonts w:ascii="Arial" w:eastAsia="Century Gothic" w:hAnsi="Arial" w:cs="Arial"/>
          <w:b/>
          <w:bCs/>
          <w:sz w:val="22"/>
          <w:szCs w:val="22"/>
        </w:rPr>
        <w:t xml:space="preserve">API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transitions and upgrade processes for outdated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