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focusing on web and mobile applications. Expertise in Python and PyTorch for building advanced AI models. Proven ability to train and fine-tune transformer models while ensuring robust production code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Java, R, Scala,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PyTorch, TensorFlow, Keras, Scikit-learn, Transformers, Hugging 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Jupyter Notebook,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Frameworks:</w:t>
      </w:r>
      <w:r w:rsidRPr="003813CA">
        <w:rPr>
          <w:rFonts w:ascii="Arial" w:eastAsia="Century Gothic" w:hAnsi="Arial" w:cs="Arial"/>
          <w:sz w:val="22"/>
          <w:szCs w:val="22"/>
        </w:rPr>
        <w:t xml:space="preserve"> Pandas, NumPy, Dask, Apache Spark,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Platform (GCP), Azure, Terraform,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systems for distributed model training and benchmarking of </w:t>
      </w:r>
      <w:r w:rsidRPr="003813CA">
        <w:rPr>
          <w:rStyle w:val="span"/>
          <w:rFonts w:ascii="Arial" w:eastAsia="Century Gothic" w:hAnsi="Arial" w:cs="Arial"/>
          <w:b/>
          <w:bCs/>
          <w:sz w:val="22"/>
          <w:szCs w:val="22"/>
        </w:rPr>
        <w:t xml:space="preserve">speech-language models (SLMs)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AI understanding of human emotions and communication nuances.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production-grade applications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AI model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training, and ensuring efficient code quality through robust testing frameworks and continuous integration methods, facilitating smooth model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evolve AI solutions and prototype new research directions, leveraging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dynamic design challenges within artificial intelligence and agriculture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massive-scale data collection and preprocessing operations, utilizing tools such as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streaming and analysis, ultimately optimizing model performance and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publish research findings in top-tier journals, significantly contributing to the AI community's understanding of </w:t>
      </w:r>
      <w:r w:rsidRPr="003813CA">
        <w:rPr>
          <w:rStyle w:val="span"/>
          <w:rFonts w:ascii="Arial" w:eastAsia="Century Gothic" w:hAnsi="Arial" w:cs="Arial"/>
          <w:b/>
          <w:bCs/>
          <w:sz w:val="22"/>
          <w:szCs w:val="22"/>
        </w:rPr>
        <w:t xml:space="preserve">human values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ethical AI deployment while addressing pressing industry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model inference pipelines, achieving significant reductions in response times and elevating conversational AI capabilities, improving real-time interaction and user experience with AI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ground-breaking research projects, responsive to the latest trends in AI ethics, as part of a commitment to developing AI that aligns with human emotional expression and well-being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Experimented with advanced transformer architectures, implementing iterative processes that address uncertain research areas while advancing AI core capabilities in understanding speech and language intricacies.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culture of continuous learning while advancing </w:t>
      </w:r>
      <w:r w:rsidRPr="003813CA">
        <w:rPr>
          <w:rStyle w:val="span"/>
          <w:rFonts w:ascii="Arial" w:eastAsia="Century Gothic" w:hAnsi="Arial" w:cs="Arial"/>
          <w:b/>
          <w:bCs/>
          <w:sz w:val="22"/>
          <w:szCs w:val="22"/>
        </w:rPr>
        <w:t xml:space="preserve">team 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challenging AI projects, ensuring knowledge sharing and skill development within the research unit.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methodologies, adapting to changes in project scope with an emphasis on </w:t>
      </w:r>
      <w:r w:rsidRPr="003813CA">
        <w:rPr>
          <w:rStyle w:val="span"/>
          <w:rFonts w:ascii="Arial" w:eastAsia="Century Gothic" w:hAnsi="Arial" w:cs="Arial"/>
          <w:b/>
          <w:bCs/>
          <w:sz w:val="22"/>
          <w:szCs w:val="22"/>
        </w:rPr>
        <w:t xml:space="preserve">innovation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problem-solving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further enhancing the team's ability to tackle complex AI challenges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discussions on AI ethics and the implications of human-guided AI development, promoting awareness of the concept of AI's contribution to societal well-being and ethics.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open-source contributions within AI ecosystems, collaborating globally with other researchers and developers to enhance tools and libraries benefiting the broader AI research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maintainable, and scalable </w:t>
      </w:r>
      <w:r w:rsidRPr="003813CA">
        <w:rPr>
          <w:rStyle w:val="span"/>
          <w:rFonts w:ascii="Arial" w:eastAsia="Century Gothic" w:hAnsi="Arial" w:cs="Arial"/>
          <w:b/>
          <w:bCs/>
          <w:sz w:val="22"/>
          <w:szCs w:val="22"/>
        </w:rPr>
        <w:t xml:space="preserve">application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tailoring solutions to the evolving needs of AI projects while intertwining functionality with user-centric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into AI model enhancements through controlled testing environments to refine AI capabilities, ensuring utility and satisfaction with the technology deployed.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systems that enabled digital transformation in the civil engineering sector by ensuring streamlined project management and collaboration among various stakeholders in large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towards the development of a </w:t>
      </w:r>
      <w:r w:rsidRPr="003813CA">
        <w:rPr>
          <w:rStyle w:val="span"/>
          <w:rFonts w:ascii="Arial" w:eastAsia="Century Gothic" w:hAnsi="Arial" w:cs="Arial"/>
          <w:b/>
          <w:bCs/>
          <w:sz w:val="22"/>
          <w:szCs w:val="22"/>
        </w:rPr>
        <w:t xml:space="preserve">cloud-based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accessibility for engineers and project managers in various phases of construction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APIs to facilitate communication between different software solutions and legacy systems within civil engineering contexts, enhancing overall project efficiency and reinforcing inter-departmental coordination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large datasets integration processing using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 accuracy and usability in project tracking apps while ensuring reliability and smooth data transitions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visualization tools to enhance project reporting and insights, presenting data in meaningful and actionable formats, improving decision-making processes for engineers and management teams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manage project documentation and workflows, championing the use of </w:t>
      </w:r>
      <w:r w:rsidRPr="003813CA">
        <w:rPr>
          <w:rStyle w:val="span"/>
          <w:rFonts w:ascii="Arial" w:eastAsia="Century Gothic" w:hAnsi="Arial" w:cs="Arial"/>
          <w:b/>
          <w:bCs/>
          <w:sz w:val="22"/>
          <w:szCs w:val="22"/>
        </w:rPr>
        <w:t xml:space="preserve">agile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team productivity and drive project completion through continuous feedback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training programs for engineers on software usage, ensuring a seamless transition to digital tools that foster better communication and collaboration throughout the lifecycle of construction and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provide tailored digital solutions, ensuring customer satisfaction through iterative development processes that align closely with user feedback and changing project scopes.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