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Solutions Architect with over 11 years of comprehensive experience in software engineering and a focus on deploying scalable AI/ML solutions. Proven expertise in client engagement, technical strategy, and solution leadership, specializing in open-source frameworks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R, Julia,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JAX, Keras, MXNet, Caffe, Ray, Kubeflow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Pandas, NumPy, SQL, NoSQL, Hadoop,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MLOps: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Ansible, Prometheus, Grafana, MLflow, Databricks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open-source AI/ML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strategies that enhance the efficiency of client projects across various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define business challenges and translate them into technical requirements, continually refining approaches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recommendations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across multiple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architectural blueprints that outlined model training methodologies, deployment strategies, and security protocols, ensuring robust implementation of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facilitating discussions that enhanced project workflows and outcomes, showcasing adaptability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whitepapers that outlined AI solution architectures and implementation strategies, contributing to industry thought leadership and community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technical insights at industry conferences, advocating for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company reputation.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risks throughout the lifecycle of AI projects, ensuring quality control and adherence to best practices in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and knowledge-sharing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improving the reliability and scalability of AI models in production environments across diverse sectors, including government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active community engagement with open-source projects, contributing code enhancements and monitoring developments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workflows and model deployment phases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backend operations and reducing operational overheads.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enhancement of AI-powered civil IT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 and construction management software for government contracts and private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AI libraries to create algorithms that significantly improved data accuracy in project planning tools, ensuring successful project management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capture requirements for digital solutions in civil engineering projects, translating them into practical software features that met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architecture and data handling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access and analytics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digital products,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software development lifecycle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releases and facilitating smooth deployments that align with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solution proposals, communicating effectively with project leads to define the scope and objectives for ongoing initiatives in civil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clients utilizing the resulting software systems, enhancing user adoption and optimizing workflows for construction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projects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civil IT, fostering community relationships while expanding technical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efforts by creating demonstration environments for potential clients, showcasing the practical applications of software in civil IT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relationships with local government agencies, understanding their unique needs and working to tailor solutions that align with regulatory requirements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