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dedicated to enhancing web and mobile applications. Skilled in developing robust, secure APIs and microservices with a deep understanding of RESTful APIs, OAuth2, and compliance standards. Proven ability to lead teams in technology adoption and mentor junior engineers, fostering a culture of collaboration and performance. Expertise in cloud platforms, particularly Azure, and adept at integrating DevOps principles to optimize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Cosmos DB, SQL Server,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APIM, Azure SQL,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Azure Monitor,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 supporting BaaS onboarding initiatives, facilitating seamless interactions between multiple financial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architects to define technical requirements, enabling the delivery of scalable solutions in compliance with financial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regular code reviews, ensuring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testing, and observability were adhered to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codebases, enhancing functionality and improving maintainability to support evolving business needs, ensuring adherence to security standards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collaboration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 efforts to foster a culture of innovation and efficiency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for feasibility and applicability to existing systems, successfully integrating advanced solutions to enhance service delivery and partner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key architectural standards and best practices for API development, which significantly improved team's workflow efficiency and reduced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system performance and improving incident response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documentation for critical systems, facilitating informed decision-making and enabling the team to align with strategic objectives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post-release incident response efforts through root cause analysis, consequently improving system reliability and performance while maintaining high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facilitated technical workshops aimed at knowledge sharing, enhancing the technical acumen of the engineering team and fostering a collaborative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management, focusing on enhancing inspection processes and facilitating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create tailored digital platforms that streamline project management processes, emphasizing user-friendly interfaces and integration with existing civil IT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web applications, driving improved user engagement and satisfaction through innovative functionality supporting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documentation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streamlined workflow that promoted team collaboration and project transparency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innovative software solutions that align with industry trends in civil IT, improving regional project delivery through tech adoption and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and onboarding of new software engineers, contributing to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