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progressive experience in software development, specializing in web and mobile applications. Proficient in Python, Java, and JavaScript, with expertise in cloud-native development, AI/LLM integration, and a strong track record in regulated industries. Committed to producing high-quality, maintainable code while collaborating effectively across cross-functional teams to drive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SQL, Golang,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React, Angular, Vue.js,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OpenShift,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Bitbucket, CircleCI, Travis CI,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Cypress, Postman, JMeter,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Oracle DB, SQLite,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cross-functional teams to transform complex business requirements into effective technical specifications, ensuring alignment with industry standards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enhanced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application components and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user experience by incorporating modern design patterns and cloud-native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 software development lifecycle (SDLC) including design, development, and deployment of robust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reliability and maintainability through CI/CD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deployment efficiency and enabling scalable, resilient architecture on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and backend services that adhere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promoting modularity and reusability while ensuring security within application design and database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skill growth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promoting adherence to coding standards and architectural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higher test coverage and reducing defect rates through continuous integration and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evaluate emerging technologies, identifying opportunities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into new and existing applications for enhanced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code quality and performance, while collaborating with QA teams to define appropriate testing strategies and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metrics and observability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optimizing the user experience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engaged in knowledge sharing and training sessions, staying updated on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particularly in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application features in a full-stack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contributing to the advancement of digital solutions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stakeholders, including UX designers and product managers, to define user-focused solutions and translate them into detailed technical specifications for successful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validation of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met established requirements and maintaining high-quality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allow for flexible and efficient deployment of independent services, thereby enhancing scalability and maintainability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large-scale application migration projects, transitioning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incorporating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efficient database schemas promoting optimized data access patterns for application-driven workloads and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and architectural discussions to promote best practices in developing secure and efficient software solutions, aligning technology with business goals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execution of training programs for new employees on the application development lifecycle and relevant technologies, enhancing team productivity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projects, utilizing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spur collaboration and innovation within the development community while enhancing personal and team exposure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system architecture and design, ensuring it remained current with software updates and reflecting the needs of stakeholders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