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particularly in building scalable web and mobile applications. Deep involvement with cloud-based architectures and IoT technology integration for enhanced national security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R, Python, JavaScript, Go, C#, TypeScript,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Bootstrap, Tailwind CSS,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Django, Flask, ASP.NET, Ruby on Rails, GraphQL,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GitLab, Helm,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Apache Kafka, SQL, Oracle,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enterprise-level software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deployments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microservices, enhancing application efficiency and performance in line with company objectives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ensuring rapid delivery of high-quality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status reporting and historical analytics, significantly improving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discussions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focusing on automation and scalability while mentoring junior engineers to foster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tests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facilitating a robust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infrastructure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and ensuring compliance with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system component simulators for efficient testing and validation of functionalities, reducing integration time and enhancing collaboration between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capabilities, contributing to the development of IoT devices that enhance situational awareness on the battlefield.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planning, retrospectives, and daily stand-ups enhancing project transparency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activities and incident responses, collaborating effectively with security teams to uphold compliance with industry regulations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development, attending workshops and training sessions to remain current on emerging technologies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automated testing frameworks, significantly reducing manual testing efforts and enhancing software delivery times through increased testing coverage.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database tuning and implementation of caching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query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integration of external APIs, establishing pathways for data exchanges that augmented application functionality and user interactions.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projects focusing on planning and bidding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server-side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in application interfaces by implementing design principles and creating interactive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closely with UX/UI designers.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the deployment of civil IT solutions, ensuring scalable and secure environments that meet project specifications and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ingestion and ETL processes for civil management systems,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digitization of construction management processes, contributing to paperless contracting solutions that integrated seamlessly with existing infrastructures using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 processes that promoted best practices, improved code readability, and ensured adherence to organizational coding standards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requirements and establish project scopes, delivering tailored solutions for construction and inspection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individual components of civil engineering applications, maintaining high standards for software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 and version control for projects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collaboration among the development team and maintaining project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knowledge sharing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guiding decisions in technology selection and integration approaches for better efficiency within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web applications from legacy software systems, ensuring a smooth migration process and user training to support new technologies in use.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