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specializing in web and mobile applications, fostering impactful educational tools. Proven expertise in TypeScript, Node.js, React, and cloud solutions, effective in cross-functional collaborations.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Bootstrap,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MongoDB, GraphQL,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WebdriverIO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high-quality, scalable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K–12 educational platforms, enhancing the teaching and learning experiences across numerous curriculum products within fast-paced agile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educational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intelligent features that empowered teachers with advanced orchestration and customization tools for lessons.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performance and reliability of user interfaces and server-side applications, fostering a culture of quality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educational experts to translate user feedback into technical requirements, iterating responsive features that align with student and teacher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code review processes, applying best practices in software design to facilitate mentorship and skill-sharing among junior and mid-level engineers while nurturing an open and collaborative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deployments and monitored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of the applications hosted in production environments across multiple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client-side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user experiences and interactivity in educational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performance monitoring of software applications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proactively optimize application performance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contributing innovative ideas and feedback, honing the collaborative workflow essential for successful project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policies around continuous learning, fostering sessions where engineers shared knowledge on emerging technologies, cloud solutions,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unique needs within the civil IT sector, significantly enhancing process efficiency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technologies,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store and retrieve project data dynamically, streamlining the information flow for civil engineering applications creating a more agile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an intuitive experience for end-users involved in construction management, driving higher user adoption and satisfaction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including project managers and civil engineers to gather business requirements, translating them into actionable software solutions aligned with civil IT objectives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high-volume requests, ensuring that the digital solutions provided reliable performance during critical project phases, supporting efficient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iterative planning sessions and sprints, improving delivery timelines and coordination across project phases, catering to civil IT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infrastructure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solutions, optimizing resource usage while ensuring scalability for anticipated future expansions in civil IT applications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focusing on design principles and code quality, fostering a culture of continuous improvement and teamwork within the engineering group, aligning with best practices in civil IT sector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