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expertise in Java, Spring, and distributed systems. Strong background in developing fault-tolerant solutions in containerized environments, with a commitment to clean coding principles and cross-team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React, Node.js,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Cloud:</w:t>
      </w:r>
      <w:r w:rsidRPr="003813CA">
        <w:rPr>
          <w:rFonts w:ascii="Arial" w:eastAsia="Century Gothic" w:hAnsi="Arial" w:cs="Arial"/>
          <w:sz w:val="22"/>
          <w:szCs w:val="22"/>
        </w:rPr>
        <w:t xml:space="preserve"> Docker, Kubernetes, AWS, GCP,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TDD, BDD, DevOps, Microservices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REST, GraphQL, Linux, Redis,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scalable, and fault-tolerant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performance in high volume </w:t>
      </w:r>
      <w:r w:rsidRPr="003813CA">
        <w:rPr>
          <w:rStyle w:val="span"/>
          <w:rFonts w:ascii="Arial" w:eastAsia="Century Gothic" w:hAnsi="Arial" w:cs="Arial"/>
          <w:b/>
          <w:bCs/>
          <w:sz w:val="22"/>
          <w:szCs w:val="22"/>
        </w:rPr>
        <w:t xml:space="preserve">trading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a focus on clean coding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API standards, optimizing infrastructure for </w:t>
      </w:r>
      <w:r w:rsidRPr="003813CA">
        <w:rPr>
          <w:rStyle w:val="span"/>
          <w:rFonts w:ascii="Arial" w:eastAsia="Century Gothic" w:hAnsi="Arial" w:cs="Arial"/>
          <w:b/>
          <w:bCs/>
          <w:sz w:val="22"/>
          <w:szCs w:val="22"/>
        </w:rPr>
        <w:t xml:space="preserve">real-time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handling and ensuring seamless integration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into </w:t>
      </w:r>
      <w:r w:rsidRPr="003813CA">
        <w:rPr>
          <w:rStyle w:val="span"/>
          <w:rFonts w:ascii="Arial" w:eastAsia="Century Gothic" w:hAnsi="Arial" w:cs="Arial"/>
          <w:b/>
          <w:bCs/>
          <w:sz w:val="22"/>
          <w:szCs w:val="22"/>
        </w:rPr>
        <w:t xml:space="preserve">containerized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scalability while minimizing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 of current technology stacks, identifying opportunities for improvements that increased operational efficiency by leveraging trends in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workflows, enhancing team collaboration and ensuring timely delivery of features while adapting to changes in project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gather requirements and develop tailored solutions for clients, increasing satisfaction with our services and products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guidelines and best practices for the engineering department to elevate the overall quality of the codebase and drive adherence to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to improve their technical skills, fostering a culture of continuous learning and collaboration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and architecture discussions, contributing innovative ideas for new features and technical solutions in alignment with the company's vision for its trading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leveraging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increase code coverage and ensure the robustness of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key performance metrics to identify bottlenecks in data retrieval processes, implementing critical optimizations in APIs handling trading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accountability for the deployment process, utilizing CI/CD pipelines for automation and ensuring high availability of trading services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industry research to integrate trending technologies and tools into current workflows, such as serverless architectures and </w:t>
      </w:r>
      <w:r w:rsidRPr="003813CA">
        <w:rPr>
          <w:rStyle w:val="span"/>
          <w:rFonts w:ascii="Arial" w:eastAsia="Century Gothic" w:hAnsi="Arial" w:cs="Arial"/>
          <w:b/>
          <w:bCs/>
          <w:sz w:val="22"/>
          <w:szCs w:val="22"/>
        </w:rPr>
        <w:t xml:space="preserve">event-driven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improve responsiveness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workshops and technical talking sessions that improved communication between product, development, and operations teams, leading to innovative solutions and faster time-to-market for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provisioning with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enhancing system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consumer-facing applications in a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collaborating with stakeholders in civil IT to improve user experience in digital solutions for project management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interface with various database systems, directly impacting project efficiency and user engagement across various </w:t>
      </w:r>
      <w:r w:rsidRPr="003813CA">
        <w:rPr>
          <w:rStyle w:val="span"/>
          <w:rFonts w:ascii="Arial" w:eastAsia="Century Gothic" w:hAnsi="Arial" w:cs="Arial"/>
          <w:b/>
          <w:bCs/>
          <w:sz w:val="22"/>
          <w:szCs w:val="22"/>
        </w:rPr>
        <w:t xml:space="preserve">civil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and design of a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tool for construction management, integrating various APIs to enhance functionality and user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extensive datasets critical to bidding and inspection systems, ensuring consistent data integrity and availability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project delivery to enhance collaboration and productivity among cross-functional teams, significantly improving workflow in software development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users in navigating </w:t>
      </w:r>
      <w:r w:rsidRPr="003813CA">
        <w:rPr>
          <w:rStyle w:val="span"/>
          <w:rFonts w:ascii="Arial" w:eastAsia="Century Gothic" w:hAnsi="Arial" w:cs="Arial"/>
          <w:b/>
          <w:bCs/>
          <w:sz w:val="22"/>
          <w:szCs w:val="22"/>
        </w:rPr>
        <w:t xml:space="preserve">digital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that software solutions met compliance and regulatory standards crucial to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the migration of legacy systems to modern frameworks, helping clients transition smoothly with minimal disruption to ongoing projects and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