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designing and implementing scalable web and mobile applications, specializing in fintech solutions. Proven expertise in backend systems using Node.js, Kubernetes, and AWS, with a strong record of cross-functional collaboration and a focus on enhancing user experience while ensuring regulatory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 C#,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Express.js, Kubernetes, Docker, Spring Boot, Apache Kafka,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Terraform, Datadog, Jenkins,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DynamoDB,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Cypress, Selenium, Postman, New Relic, Grafana,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OWASP, ISO 27001, GDPR, AML, Fraud Prevention, Risk Management, PCI DSS, Security Audits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w:t>
      </w:r>
      <w:r w:rsidRPr="003813CA">
        <w:rPr>
          <w:rStyle w:val="span"/>
          <w:rFonts w:ascii="Arial" w:eastAsia="Century Gothic" w:hAnsi="Arial" w:cs="Arial"/>
          <w:b/>
          <w:bCs/>
          <w:sz w:val="22"/>
          <w:szCs w:val="22"/>
        </w:rPr>
        <w:t xml:space="preserve">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t>
      </w:r>
      <w:r w:rsidRPr="003813CA">
        <w:rPr>
          <w:rStyle w:val="span"/>
          <w:rFonts w:ascii="Arial" w:eastAsia="Century Gothic" w:hAnsi="Arial" w:cs="Arial"/>
          <w:b/>
          <w:bCs/>
          <w:sz w:val="22"/>
          <w:szCs w:val="22"/>
        </w:rPr>
        <w:t xml:space="preserve">risk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fraud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ensuring robust defense against abuse while maintaining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microservices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scaling and deployment, resulting in improved performance metrics across multiple applications in a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data, security, and compliance to align software solutions with regulatory requirements, minimizing </w:t>
      </w:r>
      <w:r w:rsidRPr="003813CA">
        <w:rPr>
          <w:rStyle w:val="span"/>
          <w:rFonts w:ascii="Arial" w:eastAsia="Century Gothic" w:hAnsi="Arial" w:cs="Arial"/>
          <w:b/>
          <w:bCs/>
          <w:sz w:val="22"/>
          <w:szCs w:val="22"/>
        </w:rPr>
        <w:t xml:space="preserve">fraud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incidents effectively while enhancing customer engagement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automated monitoring solutions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observability of </w:t>
      </w:r>
      <w:r w:rsidRPr="003813CA">
        <w:rPr>
          <w:rStyle w:val="span"/>
          <w:rFonts w:ascii="Arial" w:eastAsia="Century Gothic" w:hAnsi="Arial" w:cs="Arial"/>
          <w:b/>
          <w:bCs/>
          <w:sz w:val="22"/>
          <w:szCs w:val="22"/>
        </w:rPr>
        <w:t xml:space="preserve">system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rapid response to anomalies and operational inefficiencies.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of junior engineers through comprehensive code reviews and collaborative design discussions, fostering an environment of continuous improvement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build resilient and highly available applications, ensuring data integrity and compliance with </w:t>
      </w:r>
      <w:r w:rsidRPr="003813CA">
        <w:rPr>
          <w:rStyle w:val="span"/>
          <w:rFonts w:ascii="Arial" w:eastAsia="Century Gothic" w:hAnsi="Arial" w:cs="Arial"/>
          <w:b/>
          <w:bCs/>
          <w:sz w:val="22"/>
          <w:szCs w:val="22"/>
        </w:rPr>
        <w:t xml:space="preserve">fintech regulations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reliability and customer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decision-making tools that leveraged advanced data analytics to refine risk assessment metrics, significantly contributing to the company's operational efficiency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iterative testing and refinement of existing risk frameworks to reduce false positives, directly improving customer satisfaction and trust in the transaction process provided by </w:t>
      </w:r>
      <w:r w:rsidRPr="003813CA">
        <w:rPr>
          <w:rStyle w:val="span"/>
          <w:rFonts w:ascii="Arial" w:eastAsia="Century Gothic" w:hAnsi="Arial" w:cs="Arial"/>
          <w:b/>
          <w:bCs/>
          <w:sz w:val="22"/>
          <w:szCs w:val="22"/>
        </w:rPr>
        <w:t xml:space="preserve">Shakepay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define the technical direction for the risk team, aligning development efforts with company-wide objectives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internal tools supporting </w:t>
      </w:r>
      <w:r w:rsidRPr="003813CA">
        <w:rPr>
          <w:rStyle w:val="span"/>
          <w:rFonts w:ascii="Arial" w:eastAsia="Century Gothic" w:hAnsi="Arial" w:cs="Arial"/>
          <w:b/>
          <w:bCs/>
          <w:sz w:val="22"/>
          <w:szCs w:val="22"/>
        </w:rPr>
        <w:t xml:space="preserve">investigative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user feedback to enhance functionality and utility, which streamlined operational workflows and improved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w:t>
      </w:r>
      <w:r w:rsidRPr="003813CA">
        <w:rPr>
          <w:rStyle w:val="span"/>
          <w:rFonts w:ascii="Arial" w:eastAsia="Century Gothic" w:hAnsi="Arial" w:cs="Arial"/>
          <w:b/>
          <w:bCs/>
          <w:sz w:val="22"/>
          <w:szCs w:val="22"/>
        </w:rPr>
        <w:t xml:space="preserve">data instrumentation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accurate risk analysis reporting, directly impacting the effectiveness of risk management practices while ensuring operational compliance standards were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adopting best practices in software development, leading discussions on architecture decisions that would enhance system performance and reliability across the </w:t>
      </w:r>
      <w:r w:rsidRPr="003813CA">
        <w:rPr>
          <w:rStyle w:val="span"/>
          <w:rFonts w:ascii="Arial" w:eastAsia="Century Gothic" w:hAnsi="Arial" w:cs="Arial"/>
          <w:b/>
          <w:bCs/>
          <w:sz w:val="22"/>
          <w:szCs w:val="22"/>
        </w:rPr>
        <w:t xml:space="preserve">risk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essential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third-party compliance systems to facilitate smooth data exchange for </w:t>
      </w:r>
      <w:r w:rsidRPr="003813CA">
        <w:rPr>
          <w:rStyle w:val="span"/>
          <w:rFonts w:ascii="Arial" w:eastAsia="Century Gothic" w:hAnsi="Arial" w:cs="Arial"/>
          <w:b/>
          <w:bCs/>
          <w:sz w:val="22"/>
          <w:szCs w:val="22"/>
        </w:rPr>
        <w:t xml:space="preserve">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risk management processes, critical to regulatory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security measures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user information, adhering to best practices for data encryption and secure access controls to meet </w:t>
      </w:r>
      <w:r w:rsidRPr="003813CA">
        <w:rPr>
          <w:rStyle w:val="span"/>
          <w:rFonts w:ascii="Arial" w:eastAsia="Century Gothic" w:hAnsi="Arial" w:cs="Arial"/>
          <w:b/>
          <w:bCs/>
          <w:sz w:val="22"/>
          <w:szCs w:val="22"/>
        </w:rPr>
        <w:t xml:space="preserve">regulatory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feedback loops with stakeholders to iteratively improve system functionalities, ensuring all enhancements addressed both user needs and compliance considerations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w:t>
      </w:r>
      <w:r w:rsidRPr="003813CA">
        <w:rPr>
          <w:rStyle w:val="span"/>
          <w:rFonts w:ascii="Arial" w:eastAsia="Century Gothic" w:hAnsi="Arial" w:cs="Arial"/>
          <w:b/>
          <w:bCs/>
          <w:sz w:val="22"/>
          <w:szCs w:val="22"/>
        </w:rPr>
        <w:t xml:space="preserve">civil infrastructure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operational efficiencies through digital solutions in bidding, management, and inspection processes with a user-centered approach.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workflows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paperless contracting processes were executed seamlessly, significantly enhancing collaboration and turnaround times for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discussions within the engineering team, promoting best coding practices and shared learning while mentoring junior developers for skills improvement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support for project management tools, ensuring high availability and reliability of critical services essential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gather requirements and feedback for digital solutions, leveraging greater insights to inform enhancements and optimize the user experience across various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various functionalities, enabling better functionality within applications supporting project planning and inspection processes while increasing the efficiency of the services offered.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architecture, ensuring data consistency and performance optimization to support various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levels of code quality and reliability in delivered solutions, leading to minimal issues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dashboards and reporting tools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aid project teams in tracking progress and identifying bottlenecks swiftly, enabling proactive project management interventions.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to iterate on user stories and application prototypes, ensuring that proposed solutions aligned with client needs and provided the necessary functionalities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accountability within the project teams, encouraging open communication and adaptability to changing project requirements, aligning efforts towards achieving shared goals for high-quality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development projects, ensuring adherence to iterative development while improving collaboration among diverse teams and stakeholders in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