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in software development, focusing on web and mobile applications. Proven expertise in building robust ML validation systems, enhancing performance, and ensuring quality in complex environments. Passionate about collaborative problem-solving and architecting innovative solutions that improve user experiences at scale.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Scala, JavaScript, TypeScript, C++,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TensorFlow, PyTorch, Spring Boot, Flask, Django, React, Angular,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Google Cloud, Azure, Kubernetes, Docker, Terraform, Jenkins,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scikit-learn, Pandas, NumPy, XGBoost, MLflow, Git, ElasticSearch,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MySQL, SQLite, Cassandra, HBase, Oracle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w:t>
      </w:r>
      <w:r w:rsidRPr="003813CA">
        <w:rPr>
          <w:rStyle w:val="span"/>
          <w:rFonts w:ascii="Arial" w:eastAsia="Century Gothic" w:hAnsi="Arial" w:cs="Arial"/>
          <w:b/>
          <w:bCs/>
          <w:sz w:val="22"/>
          <w:szCs w:val="22"/>
        </w:rPr>
        <w:t xml:space="preserve">automated ML validation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enhanced quality assurance for </w:t>
      </w:r>
      <w:r w:rsidRPr="003813CA">
        <w:rPr>
          <w:rStyle w:val="span"/>
          <w:rFonts w:ascii="Arial" w:eastAsia="Century Gothic" w:hAnsi="Arial" w:cs="Arial"/>
          <w:b/>
          <w:bCs/>
          <w:sz w:val="22"/>
          <w:szCs w:val="22"/>
        </w:rPr>
        <w:t xml:space="preserve">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recommendation engines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Etsy, resulting in improved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frameworks for validating model quality in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cost-effectiveness, and reliability in high-traffic environments serving over 100 million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w:t>
      </w:r>
      <w:r w:rsidRPr="003813CA">
        <w:rPr>
          <w:rStyle w:val="span"/>
          <w:rFonts w:ascii="Arial" w:eastAsia="Century Gothic" w:hAnsi="Arial" w:cs="Arial"/>
          <w:b/>
          <w:bCs/>
          <w:sz w:val="22"/>
          <w:szCs w:val="22"/>
        </w:rPr>
        <w:t xml:space="preserve">applied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engineers to identify and resolve challenges in ML workflows, effectively improving system capabilities and development velocity for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incisive feedback loops and </w:t>
      </w:r>
      <w:r w:rsidRPr="003813CA">
        <w:rPr>
          <w:rStyle w:val="span"/>
          <w:rFonts w:ascii="Arial" w:eastAsia="Century Gothic" w:hAnsi="Arial" w:cs="Arial"/>
          <w:b/>
          <w:bCs/>
          <w:sz w:val="22"/>
          <w:szCs w:val="22"/>
        </w:rPr>
        <w:t xml:space="preserve">production-readiness paths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ML algorithms, enabling rapid deployment and real-time performance assessments in a mission-critical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productivity tools to streamline workflows, taking every opportunity to enhance collaboration and efficiency within the team and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pair programming to ensure adherence to high development standards, mentoring junior engineers and fostering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ML Enablement initiatives, focusing on building self-service platforms that empowered teammates, thereby increasing velocity and reducing manual overhead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communicated updates and architectural changes effectively, ensuring relevant stakeholders were aligned, informed, and engaged in the ongoing technical evolution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using new </w:t>
      </w:r>
      <w:r w:rsidRPr="003813CA">
        <w:rPr>
          <w:rStyle w:val="span"/>
          <w:rFonts w:ascii="Arial" w:eastAsia="Century Gothic" w:hAnsi="Arial" w:cs="Arial"/>
          <w:b/>
          <w:bCs/>
          <w:sz w:val="22"/>
          <w:szCs w:val="22"/>
        </w:rPr>
        <w:t xml:space="preserve">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facilitating knowledge transfer and skills development which encouraged engagement within the engineering community at Etsy.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new and emerging technologies relevant to machine learning and system validation, advocating for their adoption to maintain a cutting-edge technical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ML initiatives with broader company goals, ensuring the objectives of the team were in synergy with the company vision.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backend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range of complex software applications, leveraging experience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reliability and scalability in teams focused on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architecture strategies that improved the efficiency of managing civil engineering data, ensuring easy access and reliability during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APIs and tools that supported paperless contracting and inspection processes, facilitating easier access to critical project information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various processes related to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workflows, using </w:t>
      </w:r>
      <w:r w:rsidRPr="003813CA">
        <w:rPr>
          <w:rStyle w:val="span"/>
          <w:rFonts w:ascii="Arial" w:eastAsia="Century Gothic" w:hAnsi="Arial" w:cs="Arial"/>
          <w:b/>
          <w:bCs/>
          <w:sz w:val="22"/>
          <w:szCs w:val="22"/>
        </w:rPr>
        <w:t xml:space="preserve">scripting languages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handling and reporting efficiencies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user acceptance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iterative </w:t>
      </w:r>
      <w:r w:rsidRPr="003813CA">
        <w:rPr>
          <w:rStyle w:val="span"/>
          <w:rFonts w:ascii="Arial" w:eastAsia="Century Gothic" w:hAnsi="Arial" w:cs="Arial"/>
          <w:b/>
          <w:bCs/>
          <w:sz w:val="22"/>
          <w:szCs w:val="22"/>
        </w:rPr>
        <w:t xml:space="preserve">software development cycles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deliverables met standards and effectively addressed the needs of diverse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software development and civil IT solutions, enabling informed decision-making and technological recommendations for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w:t>
      </w:r>
      <w:r w:rsidRPr="003813CA">
        <w:rPr>
          <w:rStyle w:val="span"/>
          <w:rFonts w:ascii="Arial" w:eastAsia="Century Gothic" w:hAnsi="Arial" w:cs="Arial"/>
          <w:b/>
          <w:bCs/>
          <w:sz w:val="22"/>
          <w:szCs w:val="22"/>
        </w:rPr>
        <w:t xml:space="preserve">agile ceremonies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contributed to the continuous improvement of project management methodologies, ensuring a collaborative yet focused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mentorship to junior developers, fostering professional growth and encouraging knowledge sharing across the engineering teams at Infotech, enhancing team performance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documentation to support software functionality and architecture, ensuring effective knowledge transfer between team members and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scoping and requirements gathering sessions with clients, ensuring clear understanding and alignment on expectations and desired outcomes for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