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scalable backend systems and distributed applications. Proven expertise in driving complex projects, ensuring regulatory compliance, and enhancing operational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Kotlin, Java, JavaScript, TypeScript, Go,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Django, Flask, React, Angular, Vue.js, Hibernate,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Cassandra, Redis,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Jenkins, Git,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Messaging: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Spark, RabbitMQ, AWS S3, GraphQL, REST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and delivered quarterly goals for the Credit Reports team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complex, high-impact initiatives that align directly with financial correctness and data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through ambiguous problem-solving processes, utilizing collaborative approaches and effective communication to maintain positive momentum during the development lifecycle of our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resolved technical and process issues by establishing metrics and monitoring systems that ensured operational stability and reliability of microservices architecture, particularly in compliance-driven domains.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quality ownership within the team by setting robust code review standards,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and advocating for the adoption of elegant design patterns in our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design guidance, conducting code reviews, and facilitating tech talks that raised overall team capability in best practices and innovative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evolved distributed systems to ensure accurate, timely, and auditable reporting to credit bureaus,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 and optimized deployment strategies for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including Product, Compliance, and Risk to translate regulatory requirements into practical technical solutions, aligning the engineering outputs with strategic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the technical direction for key parts of the Credit Reports platform by influencing architectural decisions and operational practices, enhancing both performance and compliance aspects of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reliability and correctness of mission-critical systems by defining quality standards and executing incident response strategies, resulting in improved uptime and reduced operational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Represented the team in technical forums, effectively communicating complex trade-offs and long-term impacts to both technical and non-technical stakeholders with clear and concise presentations.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software development projects focused on digital solutions for Civil IT by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project lifecycle efficiency for planning, bidding,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collaborative tools and methodologies that streamlined cross-functional communication, ensuring that compliance requirements were thoroughly understood and integrated into the software development lifecycle at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architectures and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data handling and retrieval processes, adapting solutions to evolving business needs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electronic plans and tools that facilitated paperless contracting processes, leveraging modern web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user interaction and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deployment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faster and more reliable releases, thereby enhancing the operational efficiency of various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