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applications. Proficient in building scalable architectures and passionate about sustainability, with a strong background in Python and data-driven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JavaScript, Go,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React, Vue.js, TensorFlow,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Travis CI,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Celery, Apache Spark, Apache Airflow,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handling while incorporating sustainability metrics for products, significantly enhancing ecological decision-making for corporate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research, product management, and data scientists to design innovative features that comprehensively present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sustainability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metrics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facilitate efficient communication between front-end interfaces and back-end services, using best practices for security and performance optimization in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and orchestration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consistent development environments and automated deployment pipelines to improve team productivity and deployment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designs for new features that involved complex data ingestion processes, tailored to analyze evolving sustainability metrics and hence aid clients in compliance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readability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documentation, and automated testing, promoting a culture of quality and continuous improvement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legacy databases into existing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performance of data queries and improve user engagement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new features and APIs, promoting knowledge sharing across the engineering team and enhancing onboarding practices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project management and expedite product delivery cycles, leading to increased team collaboration and improved customer satisfaction scores.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team-building activities and provided mentorship to junior engineers, fostering an inclusive environment that values diversity and promotes innovative thinking.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storage solutions to manage vast datasets efficiently, ensuring high availability and fast response times, thus supporting real-time analysis for customer inquiries.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and services focusing on digital solutions in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contractors to gather requirements and translate them into robust software solutions, enhancing the bidding and inspection processes through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communication between the front-end applications and the core backend services, improving the efficiency of data exchanges and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effectively, paired programming practices to enhance code quality, and conducted peer reviews to uphold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various stakeholders to implement enhancements in user interfaces, focusing on usability and accessibility across different devices and ensuring a smooth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brainstorming sessions and technical design discussions that focused on improving performance and optimizing workflows within civil IT projects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that all software solutions met quality assurance standards prior to deployment, minimizing potential post-launch issues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team members on new technologies and best practices to foster a culture of continual learning and professional development within the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