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specializing in web and mobile applications. Demonstrated expertise in FedRAMP compliance, leading engineering teams, and delivering innovative solutions across diverse tech stacks.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Go, Ruby, TypeScript,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Technologies:</w:t>
      </w:r>
      <w:r w:rsidRPr="003813CA">
        <w:rPr>
          <w:rFonts w:ascii="Arial" w:eastAsia="Century Gothic" w:hAnsi="Arial" w:cs="Arial"/>
          <w:sz w:val="22"/>
          <w:szCs w:val="22"/>
        </w:rPr>
        <w:t xml:space="preserve"> React, Node.js, Spring Boot, Django, Ruby on Rails, Angular, Flutter,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AWS, Azure, Docker, Terraform, Jenkins, Git,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Compliance:</w:t>
      </w:r>
      <w:r w:rsidRPr="003813CA">
        <w:rPr>
          <w:rFonts w:ascii="Arial" w:eastAsia="Century Gothic" w:hAnsi="Arial" w:cs="Arial"/>
          <w:sz w:val="22"/>
          <w:szCs w:val="22"/>
        </w:rPr>
        <w:t xml:space="preserve"> Microservices, RESTful APIs, GraphQL, CI/CD, Agile, Scrum, DevOps, Security best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architectures in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FedRAMP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ensuring security in cloud-based applications across cross-functional teams to enhance service delivery and regulatory adherence.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software development while leading architecture discussions focused on promoting best efficiency and reliability in product engineering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stakeholders to define technical strategies and plans for large-scale products, delivering innovative transforms that aligned with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tackled complex architectural challenges by applying industry standards to create robust solutions that enhance user experience while ensuring regulatory compliance for government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technical concepts clearly and effectively to non-technical stakeholders to build trust and ensure alignment on architecture and project objectives, fostering a collaborative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variety of programming languages and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high-performance applications that support the overarching business strategy.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implemented feedback loops to improve development processes, ensuring quality and adherence to industry best practices across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security teams to ensure applications met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FedRAMP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conducting risk assessments and audits to maintain high security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and participated in numerous high-stakes architectural design sessions, strategizing on solutions to tackle the most complex technical challenges impacting the organization as a whole.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the adoption of DevOps practices within the organization, implementing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improve release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comprehensive documentation for architectural decisions, processes, and practices to enhance knowledge sharing and maintenance across the engineering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stakeholders to address compliance concerns proactively, showcasing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FedRAMP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operational security while building lasting relationships that facilitate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software design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resulting in improved team efficiency and more iterative delivery of high-quality software products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recommended emerging technologies and industry trends that could help enhance business processes and align technology with evolving market demands for digital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community engagement efforts that promoted technology education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empower local underrepresented groups in tech.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enterprise applications tailored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reliable solutions for project management and construction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tools for planning, bidding, and project management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mobile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significantly enhancing client workflows and digital interactions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internal teams and clients to gather requirements and deliver custom software solutions that 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user-centric web applications that increased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continuous improvement in software quality through rigorous testing practices, utilizing automated frameworks and tools to deliver effective solutions under tight development schedules.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tirelessly to facilitate smoother paperless contracting experiences by developing streamlined interfaces and background processes that improved data accessibility and utilization.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drive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the development team, improving delivery timelines and fostering a culture of continuous feedback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deployment processes, collaborating with cross-functional teams to ensure seamless integration and rollout of new features and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building scalable data management systems that supported advanced analytics and reporting functionalities concerning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documentation and user guides aimed at enhancing client training and onboarding procedures, resulting in higher user adoption rates and smoother transitions to new software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various training sessions focused on the latest technological advancements and trends impacting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 to ensure the team maintained a competitive edge.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stakeholder communication to ensure alignment on project objectives and timelines, actively contributing to overall project success and client satisfaction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system integrations with legacy systems while preserving data integrity and maintaining compliance with established operational standards in the competitive Civil IT sector.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