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development professional with over 11 years of experience specializing in machine learning and large language models, focusing on the design and implementation of intelligent decision support systems and advanced AI solutions for healthcare. Proficient in a wide array of cutting-edge technologies and frameworks to optimize workflow automation and enhance patient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JavaScript,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Frameworks:</w:t>
      </w:r>
      <w:r w:rsidRPr="003813CA">
        <w:rPr>
          <w:rFonts w:ascii="Arial" w:eastAsia="Century Gothic" w:hAnsi="Arial" w:cs="Arial"/>
          <w:sz w:val="22"/>
          <w:szCs w:val="22"/>
        </w:rPr>
        <w:t xml:space="preserve"> TensorFlow, PyTorch, LangGraph, Semantic Kernel,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Milvus, Pinecone, Weaviate, PostgreSQL,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TFS, ADO, CI/CD,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GCP, Apache Kafka,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and implement advanced AI agents using </w:t>
      </w:r>
      <w:r w:rsidRPr="003813CA">
        <w:rPr>
          <w:rStyle w:val="span"/>
          <w:rFonts w:ascii="Arial" w:eastAsia="Century Gothic" w:hAnsi="Arial" w:cs="Arial"/>
          <w:b/>
          <w:bCs/>
          <w:sz w:val="22"/>
          <w:szCs w:val="22"/>
        </w:rPr>
        <w:t xml:space="preserve">LangGraph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Semantic Kernel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clinical decision-making, ensuring systems are efficient and grounded in clinical guidelines and evidence-based recommendations.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 scalable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capable of low-latency performance, integrating deeply with existing clinical workflows, and leveraging real-time data to provide actionable insights for clinicians.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and maintain </w:t>
      </w:r>
      <w:r w:rsidRPr="003813CA">
        <w:rPr>
          <w:rStyle w:val="span"/>
          <w:rFonts w:ascii="Arial" w:eastAsia="Century Gothic" w:hAnsi="Arial" w:cs="Arial"/>
          <w:b/>
          <w:bCs/>
          <w:sz w:val="22"/>
          <w:szCs w:val="22"/>
        </w:rPr>
        <w:t xml:space="preserve">Retrieval-Augmented Generation (RAG)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that synthesize fragmented clinical data into prioritized insights, facilitating data-driven decisions at the point of 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Build high-performance backend services using </w:t>
      </w:r>
      <w:r w:rsidRPr="003813CA">
        <w:rPr>
          <w:rStyle w:val="span"/>
          <w:rFonts w:ascii="Arial" w:eastAsia="Century Gothic" w:hAnsi="Arial" w:cs="Arial"/>
          <w:b/>
          <w:bCs/>
          <w:sz w:val="22"/>
          <w:szCs w:val="22"/>
        </w:rPr>
        <w:t xml:space="preserve">C#/.NET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 seamlessly with various clinical platforms, ensuring easy retrieval and analysis of healthcare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vector search infrastructure with </w:t>
      </w:r>
      <w:r w:rsidRPr="003813CA">
        <w:rPr>
          <w:rStyle w:val="span"/>
          <w:rFonts w:ascii="Arial" w:eastAsia="Century Gothic" w:hAnsi="Arial" w:cs="Arial"/>
          <w:b/>
          <w:bCs/>
          <w:sz w:val="22"/>
          <w:szCs w:val="22"/>
        </w:rPr>
        <w:t xml:space="preserve">Pinecone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Milvus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processes and minimizing latency for real-time clinical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 compliance with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internal security standards while developing AI systems, prioritizing patient data protection and ethical AI use in healthcare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junior engineers in adopting best practices for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AI development, fostering a culture of collaboration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evaluation frameworks to assess AI outputs for clinical accuracy and bias, ensuring alignment with source-of-truth medical records and improving overall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closely with cross-functional teams, including clinicians and product leaders, to translate complex clinical workflows into intuitive automated systems that enhance productivity and patient 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and apply emerging AI technologies to improve clinician productivity, enhancing the impact of solutions delivered by the team on patient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code reviews and establish consistent engineering standards, ensuring high-quality code and adherence to best practices in AI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training documentation and lead technical workshops on AI-</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fostering a learning-oriented environment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 real-time patient data into AI models, continuously refining algorithms based on evolving clinical requirements and feedback from healthcare professionals.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fine-tuning processes for </w:t>
      </w:r>
      <w:r w:rsidRPr="003813CA">
        <w:rPr>
          <w:rStyle w:val="span"/>
          <w:rFonts w:ascii="Arial" w:eastAsia="Century Gothic" w:hAnsi="Arial" w:cs="Arial"/>
          <w:b/>
          <w:bCs/>
          <w:sz w:val="22"/>
          <w:szCs w:val="22"/>
        </w:rPr>
        <w:t xml:space="preserve">PEFT/LoRA training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model performance in a production context, ensuring scalability and robustness of deployed AI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Build and maintain CI/CD pipelines to automate the deployment process of AI models, enhancing operational efficiency and system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planning and construction management within the healthcare sector, delivering innovative tools that streamlined workflows and improved operational efficiencies across diverse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cloud-based systems that enhanced data accessibility and improved decision-making processes in a civil IT context, driving results through effective teamwork and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backend services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reliability for enterprise applications designed to support operational needs in healthcare and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NoSQL databases to enhance data storage solutions, focusing on optimizing data retrieval and integration for real-time applications in operational and clinical settings.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inspection and paperless contracting tools by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analysis and automation, ultimately reducing administrative burdens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lifecycle, implementing agile methodologies and ensuring timely delivery of high-quality software that meets client and regulatory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features to support mobile applications that enhanced user interaction and engagement within project management tools, catering to varied end-user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and user guides to facilitate onboarding and ensure clarity of project functionalities, contributing to improved user experiences and operational training.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