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MLOps Engineer with over 11 years of software development experience, focused on deploying scalable machine learning services, optimizing infrastructure, and managing complex cloud environments. Proven expertise in Kubernetes, GPU optimization, and CI/CD methodologies, with a strong background in MLOps and ML deployment across diverse cloud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 Orchestration:</w:t>
      </w:r>
      <w:r w:rsidRPr="003813CA">
        <w:rPr>
          <w:rFonts w:ascii="Arial" w:eastAsia="Century Gothic" w:hAnsi="Arial" w:cs="Arial"/>
          <w:sz w:val="22"/>
          <w:szCs w:val="22"/>
        </w:rPr>
        <w:t xml:space="preserve"> Kubernetes, Helm, Docker, OpenShift, Containerization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IBM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TensorFlow, PyTorch, Triton Inference Server, ONNX, TensorRT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Grafana, Prometheus, Loki, Elasticsearch, OpenSearch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GitHub Actions, Jenkins, Airflow, Cron Jobs,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Bash, Go, Rust, JavaScript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machine learning models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infrastructure for performance and availability across multiple cloud platforms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r w:rsidRPr="003813CA">
        <w:rPr>
          <w:rStyle w:val="span"/>
          <w:rFonts w:ascii="Arial" w:eastAsia="Century Gothic" w:hAnsi="Arial" w:cs="Arial"/>
          <w:b/>
          <w:bCs/>
          <w:sz w:val="22"/>
          <w:szCs w:val="22"/>
        </w:rPr>
        <w:t xml:space="preserve">GPU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MIG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effectively balancing resource allocation for high-demand machine learning workloads and ensuring maximum utilization of hardware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sophisticated machine learning techniques, including </w:t>
      </w:r>
      <w:r w:rsidRPr="003813CA">
        <w:rPr>
          <w:rStyle w:val="span"/>
          <w:rFonts w:ascii="Arial" w:eastAsia="Century Gothic" w:hAnsi="Arial" w:cs="Arial"/>
          <w:b/>
          <w:bCs/>
          <w:sz w:val="22"/>
          <w:szCs w:val="22"/>
        </w:rPr>
        <w:t xml:space="preserve">LoRA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dynamic model merging, enhancing the adaptability and performance of various models within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Triton Inference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serving machine learning models, improving response times and facilitating the integration of advanced inference techniques like </w:t>
      </w:r>
      <w:r w:rsidRPr="003813CA">
        <w:rPr>
          <w:rStyle w:val="span"/>
          <w:rFonts w:ascii="Arial" w:eastAsia="Century Gothic" w:hAnsi="Arial" w:cs="Arial"/>
          <w:b/>
          <w:bCs/>
          <w:sz w:val="22"/>
          <w:szCs w:val="22"/>
        </w:rPr>
        <w:t xml:space="preserve">Retrieval-Augmented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(RAG)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monitoring and logging frameworks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maximum uptime and rapid troubleshooting of deployed machine learning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CI/CD pipelines with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to enhance efficiency and reduce time to market for new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Helm templates for rapid deployment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nodes, streamlining provisioning processes and reducing operational overhead associated with system configuration.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by implementing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DAGs, significantly improving the reproducibility and reliability of complex model training and deployment tasks across diverse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testing frameworks for machine learning integration, focusing on rapid feedback cycles and ensuring the high quality of code solutions for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align machine learning workflows with business objectives, enhancing analytics capabilities and supporting decision-making processes through data-driven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knowledge-sharing sessions, fostering an environment of continuous learning and improvement while upholding best practices in software development and MLOps.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of a decentralized AI infrastructure, leveraging swarm intelligence to optimize model performance while ensuring sustainability and resource efficiency in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on advanced </w:t>
      </w:r>
      <w:r w:rsidRPr="003813CA">
        <w:rPr>
          <w:rStyle w:val="span"/>
          <w:rFonts w:ascii="Arial" w:eastAsia="Century Gothic" w:hAnsi="Arial" w:cs="Arial"/>
          <w:b/>
          <w:bCs/>
          <w:sz w:val="22"/>
          <w:szCs w:val="22"/>
        </w:rPr>
        <w:t xml:space="preserve">ML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dynamic sampling and distributed model training, positioning the organization at the forefront of AI innovation in a competitive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deployment strategies by integrating model optimization frameworks such as </w:t>
      </w:r>
      <w:r w:rsidRPr="003813CA">
        <w:rPr>
          <w:rStyle w:val="span"/>
          <w:rFonts w:ascii="Arial" w:eastAsia="Century Gothic" w:hAnsi="Arial" w:cs="Arial"/>
          <w:b/>
          <w:bCs/>
          <w:sz w:val="22"/>
          <w:szCs w:val="22"/>
        </w:rPr>
        <w:t xml:space="preserve">ONNX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realizing significant performance gains in inference speed and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develop tailored solutions that meet organizational needs, improving the overall impact and effectiveness of AI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solutions within the civil IT sector, enhancing operational efficiencies for clients in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web applications that streamlined communication and project management between construction teams and stakeholders, driving innovation in the contracting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data exchange between mobile and web applications, promoting paperless contracting and reducing operational bottlenecks for field teams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deployment process and ensured consistent updates across multiple project environments, enhancing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gather requirements and translate them into technical specifications, supporting the overall goals of the organization and increasing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ensuring consistent environments across development, testing, and production for seamless application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analysis tools within software solutions, empowering clients with enhanced decision-making capabilities for large-scale projects within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SQL databases to support backend operations for applications, ensuring data integrity and optimized query performance for user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end-users, enhancing their proficiency with software tools and ensuring maximum productivity in daily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technologies in civil IT, continuously seeking ways to enhance existing solutions and implement cutting-edge advancements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Agile methodologies to manage project deliverables, ensuring timely completions and adaptability to changing project scopes while enhancing overall team performance and morale.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discuss requirements and provide insights, fostering strong relationships and ensuring that project outcomes aligned with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