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focused on full stack development, system architecture, and application modernization. Proven track record in stabilizing legacy applications and driving their incremental improvements in alignment with strategic goals, particularly in the aviation and federal government ecosystems.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Django, Spring,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Oracle, SQL Server,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REST APIs, GraphQL, MVC,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assessment and modernizing of fragmented legacy application systems, focusing on stabilizing their architectures while improving performance and reducing technical debt daily in a dynamic, highly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analyzing and refactoring database structures to enhance overall performance, integrity, and maintainability, ensuring a high degree of database security and compliance in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effectively with multidisciplinary program, security, and development teams to align project execution with evolving mission needs, adapting rapidly to any change in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 comprehensive phased modernization roadmap using various strategies such as refactoring, replatforming, or retiring outdated systems based on thorough assessments and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 critical system constraints, technical risks, and architectural decisions, while engaging regularly in architecture reviews to ensure best practices are being adhered to across all stages of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comprehensive data migration strategies with a strong emphasis on minimal operational disruption, utilizing best practices to transfer data without compromising integrity or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baseline metrics for system performance, capacity, and data health, which were essential for tracking project success and ensuring systems met organizational and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effective data models, ownership boundaries, and interface contracts to facilitate improved system integration across applications, allowing for scalable data access and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 and enforce stringent non-functional requirements covering performance, security, reliability, and compliance, ensuring that all application developments met high industry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 as the company's enterprise technical lead, contributing architectural guidance and best practices to internal teams for continual improvement and innovation in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architecture reviews to prioritize immediate solutions versus long-term improvements, ensuring the maintenance of robust, secure, and scalable application structures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Shape and support proposal efforts through corporate technical leadership, driving insights and innovations to enhance organizational growth initiatives in highly competitive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mitigation strategies proactively by identifying risks and dependencies within ongoing projects, ensuring alignment with mission objectives, and developing actionable approaches to address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agile methodologies to maintain adaptive project management, ensuring teams could deliver high-quality results and enhancements in an evolving technological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 as a subject matter expert in critical technical areas, ensuring all team members are well-informed and trained on the major tools and technologies utilized in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cloud-based solutions for civil IT projects that streamlined construction management and inspection processes, enhancing overall project transparency and efficiency via paperless contracting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robust database systems that supported comprehensive web applications, focusing on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high-performance operational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collaboration to identify and address potential technical risks during project execution, ensuring a seamless flow of data across various applications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code quality within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by integrating security features within application lifecycles, keeping federal regulations and standards in mind throughout development phases, fostering a secure digital environment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the architectural redesign of legacy systems, applying modern approaches to enhance system flexibility, maintainability, and performance while aligning with contemporary technological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for junior engineers, sharing insights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backend technologies to foster consistent growth within the team and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deliver updates on project progress, ensuring that technical solutions were aligned with business goals and client expectations without exception.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transitions from older legacy systems to newer architectures, ensuring that operational continuity was maintained and client expectations met throughout the migration process, demonstrating leadership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documented APIs for integrating services within civil IT applications to enhance data interchange and improve the performance of digital solutions being provided, ensuring data integrity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system architectures and decision-making processes, facilitating clear communication among developers, project managers, and clients to ensure all stakeholders were informed at every stage.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both development and systems engineering principles to prioritize system requirements, ensuring all implementations resonated with real user needs and anticipated future growth areas.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