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focused on crafting innovative web and mobile applications. Proven track record in utilizing TypeScript, React, and robust DevOps practices to drive successful projects. Highly adept in collaboration, delivering high-quality engineering outcomes in remote environments, and leveraging AI tools effectively. Passionate about automating infrastructure and improving engineering workflows for optimal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C#, Python, HTML5, CSS3,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Vue.js, Node.js, Express, ASP.NET,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CI/CD, Terraform, CloudFormation, Docker, Kubernetes, Git,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Heroku, DigitalOcean,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Test-Driven Development, Continuous Integration, Infrastructure as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Automation Tools:</w:t>
      </w:r>
      <w:r w:rsidRPr="003813CA">
        <w:rPr>
          <w:rFonts w:ascii="Arial" w:eastAsia="Century Gothic" w:hAnsi="Arial" w:cs="Arial"/>
          <w:sz w:val="22"/>
          <w:szCs w:val="22"/>
        </w:rPr>
        <w:t xml:space="preserve"> GitHub Copilot, OpenAI API, DataRobot, RapidMiner, Tableau</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applications using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user experience through responsive design and implementing best practices in UI/UX across various platforms and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deployments leveraging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built on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reliability and reducing time to deployment for software projects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cloud infrastructure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provisioning resources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infrastructure as code principles and ensuring consistent environments for development and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management and design, translating business requirements into technical specifications that result in high-quality engineering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Exploited the power of </w:t>
      </w:r>
      <w:r w:rsidRPr="003813CA">
        <w:rPr>
          <w:rStyle w:val="span"/>
          <w:rFonts w:ascii="Arial" w:eastAsia="Century Gothic" w:hAnsi="Arial" w:cs="Arial"/>
          <w:b/>
          <w:bCs/>
          <w:sz w:val="22"/>
          <w:szCs w:val="22"/>
        </w:rPr>
        <w:t xml:space="preserve">AI development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accelerate code generation, enhancing overall programming efficiency and allowing for increased focus on complex problem-solving and architectural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coding standards in line with industry best practices, performing code reviews and actively contributing to continual improvement initiatives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enhanced security measures in web applications, implementing best practices for secure coding along with tools like </w:t>
      </w:r>
      <w:r w:rsidRPr="003813CA">
        <w:rPr>
          <w:rStyle w:val="span"/>
          <w:rFonts w:ascii="Arial" w:eastAsia="Century Gothic" w:hAnsi="Arial" w:cs="Arial"/>
          <w:b/>
          <w:bCs/>
          <w:sz w:val="22"/>
          <w:szCs w:val="22"/>
        </w:rPr>
        <w:t xml:space="preserve">OWASP ZAP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security vulnerabilities.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technical planning sessions, collaborating towards achieving defined objectives in a fully remote work environment through effective communication and teamwork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for project management, participating in daily stand-ups, sprint planning, and retrospectives to ensure team cohesion and alignment on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training sessions and workshops focusing on emerging technologies and methodologies, fostering a culture of continuous learning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modern testing frameworks into the development workflows, ensuring that both unit and integration tests are part of the Continuous Integration process to ensure application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comprehensive documentation for systems developed, focusing on enhancing onboarding processes and reducing ramp-up time for new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cloud-based storage solutions on </w:t>
      </w:r>
      <w:r w:rsidRPr="003813CA">
        <w:rPr>
          <w:rStyle w:val="span"/>
          <w:rFonts w:ascii="Arial" w:eastAsia="Century Gothic" w:hAnsi="Arial" w:cs="Arial"/>
          <w:b/>
          <w:bCs/>
          <w:sz w:val="22"/>
          <w:szCs w:val="22"/>
        </w:rPr>
        <w:t xml:space="preserve">AWS 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app assets, ensuring fast access, redundancy, and optimized performance for application users across geographies.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through mentorship of junior developers, encouraging best coding practices and guidance on their career development within the tech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performance tuning and monitoring of applications through tools like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application health and performance metrics are met.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enterprise-level applications in compliance with industry standards, focusing on enhancing the infrastructure of digital solutions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like planning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to streamline the software development lifecycle, emphasizing automation and continuous improvement tailored to client needs in digital solutions for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explore technological possibilities, integrating feedback from </w:t>
      </w:r>
      <w:r w:rsidRPr="003813CA">
        <w:rPr>
          <w:rStyle w:val="span"/>
          <w:rFonts w:ascii="Arial" w:eastAsia="Century Gothic" w:hAnsi="Arial" w:cs="Arial"/>
          <w:b/>
          <w:bCs/>
          <w:sz w:val="22"/>
          <w:szCs w:val="22"/>
        </w:rPr>
        <w:t xml:space="preserve">stakeholders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project managers into the iterative development process of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mentoring for junior engineers, fostering a culture of quality assurance and adherence to best programming practices as directed by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enhancing digital contracting processes, leveraging software solutions that transition traditional approaches into </w:t>
      </w:r>
      <w:r w:rsidRPr="003813CA">
        <w:rPr>
          <w:rStyle w:val="span"/>
          <w:rFonts w:ascii="Arial" w:eastAsia="Century Gothic" w:hAnsi="Arial" w:cs="Arial"/>
          <w:b/>
          <w:bCs/>
          <w:sz w:val="22"/>
          <w:szCs w:val="22"/>
        </w:rPr>
        <w:t xml:space="preserve">paperless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contracting, improving efficiencies and reducing resource overhead.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tools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faster project delivery, improving collaboration and visibility across project management workflows in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directly with </w:t>
      </w:r>
      <w:r w:rsidRPr="003813CA">
        <w:rPr>
          <w:rStyle w:val="span"/>
          <w:rFonts w:ascii="Arial" w:eastAsia="Century Gothic" w:hAnsi="Arial" w:cs="Arial"/>
          <w:b/>
          <w:bCs/>
          <w:sz w:val="22"/>
          <w:szCs w:val="22"/>
        </w:rPr>
        <w:t xml:space="preserve">clients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gather requirements and present solutions, demonstrating the value of IT transformations in their processes related to </w:t>
      </w:r>
      <w:r w:rsidRPr="003813CA">
        <w:rPr>
          <w:rStyle w:val="span"/>
          <w:rFonts w:ascii="Arial" w:eastAsia="Century Gothic" w:hAnsi="Arial" w:cs="Arial"/>
          <w:b/>
          <w:bCs/>
          <w:sz w:val="22"/>
          <w:szCs w:val="22"/>
        </w:rPr>
        <w:t xml:space="preserve">Civil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existing legacy applications, applying modern architecture principles to enhance sustainability and performance metrics suited to client infrastructure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workshops about new technologies, sharing insights and developing case studies that related closely to effective digital transformations in the construction and planning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specifications for projects, enhancing transparency and project tracking through effective project management, ensuring all stakeholders were informed of the project's direction.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demonstrations, showcasing new software features and gathering feedback that informed further iterations of product development efforts in the digital solutions domain for the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training materials for clients to facilitate smooth transitions to new digital platforms, promoting user adoption and illustrating the benefits of new application features.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