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Proficient in front-end technologies, collaborating with cross-functional teams to deliver innovative solutions. Strong background in agile methodologies and best practices to ensure high-quality, responsive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Material UI, Ant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highly responsive and accessible web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UI/UX teams to ensure a seamless user experience and adherence to design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component performance and reusability while reducing unnecessary prop drilling in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through code-splitting and lazy loading techniques, effectively decreasing load times and improving user engagement metrics through responsive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facilitated pair programming sessions, promoting best practices in code quality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Agile sprints to prioritize tasks and align development efforts with project milestones, ensuring timely delivery of client requirements in an iterative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issue management, maintaining clear communication with stakeholders about project status and addressing any blockers as they arose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optimizing server interactions while ensuring data consistency and reliability throughout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reliability and a significant reduction in defect density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team environment focused on continuous learning and skill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gather feedback on application usability and conducted A/B testing to iterate and enhance user interfaces based on analytical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developers to create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data flow between front-end and server-side applications for improved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implementing agile methodologies to enhance productivity and streamline the development process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for civil IT applications focused on planning and bidding,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interactive dashboards that simplified contractor management tasks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 to refine user stories and prioritize features relevant to digital solutions, which ensured timely releases aligning with market demands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capture requirements for new features, translating complex functionalities into user-friendly web applications while maintaining high standards in aesthetic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prototype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iteration on designs and gathering user feedback for enhanced usability and engagement within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a consistent user experience across various devices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Specialized in developing integrated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modern frameworks to streamline workflows and reduce administrative overhead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processes for applications,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and adherence to performance expectations before production deployment.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