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Developer with 11 years of experience specializing in AI/ML and Generative AI solutions. Proficient in Python and experienced with large language models (LLMs) along with modern frameworks. Committed to delivering scalable applications that leverage advanced GenAI technologies, ensuring adherence to responsible AI practices to mitigate bias and maintain safety. A strong team collaborator skilled in integrating LLMs into enterprise systems and optimizing AI-powered applications for diverse business requirements.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Python, JavaScript, TypeScript, SQL, HTML5, CSS3,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LangChain, LlamaIndex, TensorFlow, PyTorch, Flask, Django, FastAPI,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Tools:</w:t>
      </w:r>
      <w:r w:rsidRPr="003813CA">
        <w:rPr>
          <w:rFonts w:ascii="Arial" w:eastAsia="Century Gothic" w:hAnsi="Arial" w:cs="Arial"/>
          <w:sz w:val="22"/>
          <w:szCs w:val="22"/>
        </w:rPr>
        <w:t xml:space="preserve"> OpenAI API, Anthropic API, AWS Bedrock, RAG, Hugging Face Transformers, Scikit-learn, Keras, XGBoost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DynamoDB,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 Terraform, Ansible, GitHub Actions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GenAI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LangChain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LlamaIndex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solutions met client requirements for performance and reliability in a fully remote development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integrations of LLMs with existing enterprise systems through custom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amplifying system efficiencies and accessibility for business unit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scaling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leveraging cloud services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processing capabilities while adhering to industry standards for responsible AI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enhance application features,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ensuring timely delivery of products that aligned with the client's evolving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prompt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for ML models, improving their contextual understanding and output quality tailored to specific use cases.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AI projects, ensuring clarity in application architecture and facilitating seamless handover processes across team members and knowledge bases.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that emphasized clean coding practices, including adherence to software design principles, ensuring long-term maintainability, and reducing technical debt across the board.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predictive models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transformer architectures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practical implementation aimed at real-world applications in various industry verticals, such as healthcare and finance.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ingestion workflows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vector 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LLM capabilities in processing and retrieving relevant information efficiently and accurately.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monitored GenAI trends, tools, and frameworks, proactively suggesting and integrating advanced technologies that ensured competitive advantages in product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bias mitigation strategies by developing ethical safeguards and integrations into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ensuring compliance with contemporary standards and enhancing user trust in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and support to junior developers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GenAI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frameworks, fostering a collaborative environment that promoted knowledge sharing and skill advancement throughout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additional ML toolkits and libraries into existing projects to improve functionality and performance, ensuring all developments were relevant and up to date with current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distributed knowledge-sharing sessions within the organization to increase understanding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GenAI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concepts and their practical applications within ongoing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modular application designs that enabled team flexibility and adaptability to changing project demands while significantly reducing project delivery times.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digital solutions tailored for the Civil IT sector, including features for planning, bidding, construction management, and paperless contracting, enhancing user experience in complex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cross-functional teams to identify user needs, translating these into interactive features that maximized the effectiveness of the digital tools used in construction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innovative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processing and visualization, significantly improving decision-making capabilities for contractors and project supervisors.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efficient data storage and retrieval for a variety of applications critical in civil engineering and construction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from requirement gathering to deployment, ensuring that all software delivered was of the highest quality and met both user and functional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automate deployment and testing procedures, greatly improving software reliability and cutting down on time spent in maintenance phases of project life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machine learning models for predictive analysis on project risks and cost overruns, allowing stakeholders to optimize resource allocation and budget planning.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enhanced existing applications through regular updates and feature improvements, ensuring compliance with current industry standards and user expectations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ongoing development of a mobile application that facilitated easy access to construction resources and bid submission processes, streamlining workflows for end-users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user documentation for all applications built, creating clear references that empowered end-users and internal teams alike to utilize software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quality assurance practices that assured the accessibility and performance of applications across multiple platforms, ensuring that key functionality was preserved regardless of user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troubleshooting for deployed applications, resolving user issues promptly and fostering positive user engagement across various stakeholders involved in civil engineering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