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passionate software engineer with over 11 years of experience in developing robust web and mobile applications. Proven expertise in Python, Django, and API development, with strong focus on backend optimization and clean energy integration.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Ruby, Go, TypeScript, Elixir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GraphQL, REST, React, Node.js, Celery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DynamoDB,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Infrastructure:</w:t>
      </w:r>
      <w:r w:rsidRPr="003813CA">
        <w:rPr>
          <w:rFonts w:ascii="Arial" w:eastAsia="Century Gothic" w:hAnsi="Arial" w:cs="Arial"/>
          <w:sz w:val="22"/>
          <w:szCs w:val="22"/>
        </w:rPr>
        <w:t xml:space="preserve"> AWS, Docker, Kubernetes, Terraform, CI/CD, Nginx,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Jest, Mocha, Postman, Selenium, Load Testing, Profiling, Pytest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and services, enhancing user experience for mobile applications while ensuring seamless integration of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optimized data retrieval in energy monitoring.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innovative features that improved </w:t>
      </w:r>
      <w:r w:rsidRPr="003813CA">
        <w:rPr>
          <w:rStyle w:val="span"/>
          <w:rFonts w:ascii="Arial" w:eastAsia="Century Gothic" w:hAnsi="Arial" w:cs="Arial"/>
          <w:b/>
          <w:bCs/>
          <w:sz w:val="22"/>
          <w:szCs w:val="22"/>
        </w:rPr>
        <w:t xml:space="preserve">user engagement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streamlined functionality within our decentralized energy platform, while maintaining high performance across all endpoints.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reliable back-end modules to handle complex real-time data processing while implementing robust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practices that accommodated multiple partners and vendors in the evolving energy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refactor and optimize legacy code, resulting in a measurable increase in application speed and maintainability, showcasing an unwavering commitment to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craftsmanship.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Custom-built internal </w:t>
      </w:r>
      <w:r w:rsidRPr="003813CA">
        <w:rPr>
          <w:rStyle w:val="span"/>
          <w:rFonts w:ascii="Arial" w:eastAsia="Century Gothic" w:hAnsi="Arial" w:cs="Arial"/>
          <w:b/>
          <w:bCs/>
          <w:sz w:val="22"/>
          <w:szCs w:val="22"/>
        </w:rPr>
        <w:t xml:space="preserve">CRM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through </w:t>
      </w:r>
      <w:r w:rsidRPr="003813CA">
        <w:rPr>
          <w:rStyle w:val="span"/>
          <w:rFonts w:ascii="Arial" w:eastAsia="Century Gothic" w:hAnsi="Arial" w:cs="Arial"/>
          <w:b/>
          <w:bCs/>
          <w:sz w:val="22"/>
          <w:szCs w:val="22"/>
        </w:rPr>
        <w:t xml:space="preserve">Django Admin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more efficient workflows for administrative tasks in alignment with business needs, ultimately enhancing overall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various </w:t>
      </w:r>
      <w:r w:rsidRPr="003813CA">
        <w:rPr>
          <w:rStyle w:val="span"/>
          <w:rFonts w:ascii="Arial" w:eastAsia="Century Gothic" w:hAnsi="Arial" w:cs="Arial"/>
          <w:b/>
          <w:bCs/>
          <w:sz w:val="22"/>
          <w:szCs w:val="22"/>
        </w:rPr>
        <w:t xml:space="preserve">DevOps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enhance code delivery cycles for major application updates, resulting in faster product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profiling, employing tools to identify bottlenecks, optimizing existing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and implementing best practices to ensure reliability and user satisfaction across our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provided technical guidance on implementing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resulting in higher code coverage metrics and fostering a culture of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planning discussions that shaped the technical strategy, focusing on scalability and security as key tenets of our product development roadmap.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asynchronous task management through </w:t>
      </w:r>
      <w:r w:rsidRPr="003813CA">
        <w:rPr>
          <w:rStyle w:val="span"/>
          <w:rFonts w:ascii="Arial" w:eastAsia="Century Gothic" w:hAnsi="Arial" w:cs="Arial"/>
          <w:b/>
          <w:bCs/>
          <w:sz w:val="22"/>
          <w:szCs w:val="22"/>
        </w:rPr>
        <w:t xml:space="preserve">Celery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handling of high-volume transactions associated with energy use reporting, further enhancing system performance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technologies to fortify our backend ecosystem, ensuring that our infrastructure remains at the forefront of the rapidly evolving clean energy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with stakeholders to translate business requirements into technical solutions, promoting understanding and facilitating smoother project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w:t>
      </w:r>
      <w:r w:rsidRPr="003813CA">
        <w:rPr>
          <w:rStyle w:val="span"/>
          <w:rFonts w:ascii="Arial" w:eastAsia="Century Gothic" w:hAnsi="Arial" w:cs="Arial"/>
          <w:b/>
          <w:bCs/>
          <w:sz w:val="22"/>
          <w:szCs w:val="22"/>
        </w:rPr>
        <w:t xml:space="preserve">documentation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cultivating a shared knowledge environment and enhancing cross-team communication for improved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sprint planning and retrospective meetings, leveraging agile methodologies to adapt to changing project demands in a fast-paced startup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r w:rsidRPr="003813CA">
        <w:rPr>
          <w:rStyle w:val="span"/>
          <w:rFonts w:ascii="Arial" w:eastAsia="Century Gothic" w:hAnsi="Arial" w:cs="Arial"/>
          <w:b/>
          <w:bCs/>
          <w:sz w:val="22"/>
          <w:szCs w:val="22"/>
        </w:rPr>
        <w:t xml:space="preserve">infrastructure-as-code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deployment procedures, cultivating a modern engineering approach to our backend infrastructure.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that streamlined digital solutions for various Civil IT projects, adding significant value to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through innovative software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collaborated with frontend teams to create seamless user experiences in planning and inspecting projects, leveraging </w:t>
      </w:r>
      <w:r w:rsidRPr="003813CA">
        <w:rPr>
          <w:rStyle w:val="span"/>
          <w:rFonts w:ascii="Arial" w:eastAsia="Century Gothic" w:hAnsi="Arial" w:cs="Arial"/>
          <w:b/>
          <w:bCs/>
          <w:sz w:val="22"/>
          <w:szCs w:val="22"/>
        </w:rPr>
        <w:t xml:space="preserve">modern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visibility and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and performance for large datasets involving bid management solutions, ensuring minimal downtime and laborious manual processes for users within the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to a more agile development environment by implementing automated testing frameworks, fostering a culture of quality and speed among team members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collaborative efforts for project developments and deployments within the organization, which spanned multiple teams and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refining internal processes related to paperless contracting, developing tools that not only simplified workflows but also improved the customer engagement experience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regulations by implementing secure coding practices and conducting regular security assessments of project-related digital solutions, emphasizing the importance of governance in software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management procedures by leveraging software tools that integrate digital construction management with traditional methodologies, ensuring comprehensive coverage of stakeholder needs in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