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developing complex web and mobile applications, specializing in architecting scalable backend systems using Python, GCP, and microservices architecture. Proven ability to mentor and lead cross-domain projects ensuring compliance and optimal performance within fintech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C#,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(GCP), AWS, Azure, Heroku,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Architecture:</w:t>
      </w:r>
      <w:r w:rsidRPr="003813CA">
        <w:rPr>
          <w:rFonts w:ascii="Arial" w:eastAsia="Century Gothic" w:hAnsi="Arial" w:cs="Arial"/>
          <w:sz w:val="22"/>
          <w:szCs w:val="22"/>
        </w:rPr>
        <w:t xml:space="preserve"> Django, Flask, FastAPI, Spring Boot, Node.js, Event-Driven Architecture,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gRPC, WebSockets, SOAP, OAuth2,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GitHub Actions, CircleCI, Git, Ansible, Nagios,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backend systems for financial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transaction processing and accurate fraud detection across various platforms and regulatory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design and implement scalable microservices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maintainability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coding standards, architectural design patterns, and effective use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frameworks, fostering a culture of learning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compliance teams to gather requirements and shape powerful financial solutions that meet both business objectives and strict regulatory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and reliability of backend services by applying principles of clean architecture, deploying techniques for load balancing and API optimization, thus positively impacting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 models and direct interactions with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enhance system efficiency for handling large transaction volumes of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utilizing tools like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system management and rapid issue resolution for critical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secure deployment practices across production environments by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infrastructure as code, significantly reducing the risk of configuration drift.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assess and integrate third-party libraries and services, enhancing functionality while conforming to </w:t>
      </w:r>
      <w:r w:rsidRPr="003813CA">
        <w:rPr>
          <w:rStyle w:val="span"/>
          <w:rFonts w:ascii="Arial" w:eastAsia="Century Gothic" w:hAnsi="Arial" w:cs="Arial"/>
          <w:b/>
          <w:bCs/>
          <w:sz w:val="22"/>
          <w:szCs w:val="22"/>
        </w:rPr>
        <w:t xml:space="preserve">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KYC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processes to refine our engineering methodologies, exploring new tools and technologies that align with evolving industry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software specifications and architectural blueprints that highlight key components and integrations, ensuring comprehensive understanding across all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enhance team skills and industry awareness, significantly contributing to professional growth and keeping up with emerging financial technology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performance assessments of backend systems, resulting in actionable insights and tuning strategies that improved overall application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API documentation and guides, streamlining onboarding processes for internal consumers and third-party integrations into the existing financial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cross-domain teams while advocating for engineering efficiencies, thus improving communication and collaboration on complex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backend systems for civil IT projects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catering to complex requirements in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create intuitive web applications, utilizing CSS frameworks and rich JavaScript libraries, enhancing user engagement and client satisfaction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optimizing queries for high-performance systems used in the construction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an event-driven microservices architecture for project management tools, employing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processing and messaging solutions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platforms, standardizing workflows and conditions for improved operational efficiency within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RESTful APIs to facilitate seamless data exchange between mobile applications and backend services, aligning with user requirements and industry standards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rationale for software modifications that kept applications aligned with regulatory standards specific to civil applications in construction and permitting.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collaborative programming sessions to maintain high coding standards, support agile development methodologies, and foster a cohesive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software delivery process, enabling faster feature releases and ensuring high-quality deployments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to ensure smooth adoption of new systems and technologies among clients, enhancing their understanding and usability of developed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emerging technologies and best practices tailored to civil engineering and construction management, promoting team alignment with current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translate client needs into technical specifications and milestones while ensuring compliance with civil engineering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