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backend development, specializing in Golang. Proven expertise in designing robust APIs and ensuring data consistency and security in applications. Passionate about solving complex business challenges through innovative, technical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 JavaScript, Ruby, C++, Bash,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Redis, MySQL,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Docker, Kafka, REST, gRPC, GraphQL, Kubernetes,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GitHub Actions, Jenkins, CircleCI, Travis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Practices:</w:t>
      </w:r>
      <w:r w:rsidRPr="003813CA">
        <w:rPr>
          <w:rFonts w:ascii="Arial" w:eastAsia="Century Gothic" w:hAnsi="Arial" w:cs="Arial"/>
          <w:sz w:val="22"/>
          <w:szCs w:val="22"/>
        </w:rPr>
        <w:t xml:space="preserve"> Domain-Driven Design (DDD), Microservices, Event-Driven Architecture, Serverless, CQRS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backend systems with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levels of data consistency through comprehensive testing and monitoring of application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APIs compliant with industry standards, enhancing user experience while securely managing sensitive financial data across multiple platforms relying on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collaborations to integrate diverse payment solutions, prioritizing transparency and security in transactions, with a focus on adhering to regulatory standards in financial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improving deployment speeds and system scalability while ensuring seamless integration with existing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proactive incident management by setting up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observability, along with writing clear technical documentation that facilitated smooth knowledge transfer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automation of CI/CD processes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timeframes and enhancing overall productivity across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a robust financial ecosystem that allowed users to transact in multiple currencies seamlessly, mitigating previous barriers tied to traditional banking systems through innovative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real-time data processing capabilities by leveraging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async workflows, ensuring timely and reliable data management in high-transaction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fostering a culture of knowledge sharing and high-quality output while utilizing feedback loops to continuously improve code maintainability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talent development programs within the engineering team, promoting ownership and responsibility for system designs, which cultivated an atmosphere of innovation and accountability with lasting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architecture discussions around scalable and resilient system designs, evaluating trade-offs between different technologies and steering teams towards optimal design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systems focusing on workflow optimization for </w:t>
      </w:r>
      <w:r w:rsidRPr="003813CA">
        <w:rPr>
          <w:rStyle w:val="span"/>
          <w:rFonts w:ascii="Arial" w:eastAsia="Century Gothic" w:hAnsi="Arial" w:cs="Arial"/>
          <w:b/>
          <w:bCs/>
          <w:sz w:val="22"/>
          <w:szCs w:val="22"/>
        </w:rPr>
        <w:t xml:space="preserve">CivIT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handling for construction management and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to facilitate seamless data flow for project planning and bidding systems, assuring compliance with civil engineering standards and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innovative digital solutions for the civil engineering sector, fostering efficient collaboration and project execution across cross-disciplinary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testing and enhancement of database systems including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reliability under increased workloads associated with construction project deliveries.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software development using SCRUM methodologies, encouraging teamwork and adaptability among engineers to meet project deadlines efficiently while maintaining high code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the product team in translating customer requirements into technical specifications, leading to tailored solutions that improved user engagement and satisfaction within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pipelines to sync project data between on-premise and cloud systems, promoting a more integrated approach to civil project oversight using tools like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architectural best practices and coding standards for the team, significantly reducing technical debt and enhancing the overall stability of released software products.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