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and AI engineering, focusing on the development of enterprise-level applications using emerging technologies, including LLM, AI frameworks, and cloud services. Proven leadership experience in managing high-performing teams and driving innovation in AI deployments.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C++, SQL, R,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PyTorch, Hugging Face Transformers, OpenAI GPT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Spark, MongoDB, PostgreSQL, Vector Databases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Terraform, Ansible, Apache Kafka, Airflow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executed the enterprise AI engineering strategy guiding the development of cloud-native applications for claims management, ensuring alignment with business objectives and making effective use of the latest AI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deployment of large-scale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across global operations, driving innovation and enabling clients to realize significant operational efficiencies through automation and intelligent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scaled a high-performing AI engineering organization, mentoring engineers in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LLM-powered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promoting a culture of technical excellence and continuous learning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standards for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retrieval-augmented generation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into production environments, resulting in enhanced capabilities for natural language understanding and response generation in customer service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design of both autonomous and semi-autonomous AI systems that optimized claims intake processes, incorporating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workflow 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improve accuracy and reduce processing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enterprise architecture decisions, ensuring seamless integrations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various enterprise platforms, enhancing data flow and operational efficiency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enforced engineering best practices, including methodology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innovation while ensuring the deliverables met regulatory compliance and operational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governance frameworks that ensured responsible AI practices including explainability and auditability, working closely with cross-functional teams to address potential risks and regulatory concerns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cybersecurity and legal teams to anticipate and mitigate risks associated with AI deployments, resulting in secure and compliant AI solutions that aligned with the industry's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evaluation methodologies to assess AI system performance and reliability, enabling continuous improvement in reasoning quality and minimizing hallucination risks for client-facing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AI strategy and progress to executive leadership, utilizing strong presentation skills to demystify complex technical concepts for stakeholders and drive informed decision-making processes across the company.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departments including Claims Operations and IT, successfully identifying key AI use cases that delivered measurable ROI and significantly improved operational capabilities for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vendor relationships effectively, ensuring optimal performance and integration of third-party AI platforms and tools into the existing technology stack, streamlining processes and driving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to promote adoption of AI solutions among client-facing teams, enhancing overall service delivery and client satisfaction through empowered personnel and technological support.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AI capability roadmaps to stakeholders, articulating the strategic vision for AI development within the organization and positioning Sedgwick as a leader in technology innovation in claims management.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user-friendly, scalable web applications for digital solutions, focusing on streamlining processes related to civil IT projects including planning and construction management, enhancing project delivery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build backend systems that supported large-scale construction management applications, effectively managing data workflows and improving project efficiency through innovative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project managers and designers to ensure seamless integration of user feedback into application development, significantly improving end-user experience and usability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integration with various partners, facilitating the exchange of information relevant to civil projects, which improved communication and operation efficacy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user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web applications were accessible, user-centric, and optimized for performance, enhancing overall user engagement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advocating for Agile methodologies which improved project turnaround times by fostering collaboration and adaptability within the development teams involved.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incorporated emerging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digital tools, enhancing functionality and offering predictive insights for construction and project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increased application reliability and adherence to client specifications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transitioning clients from legacy systems to modern digital solutions, ensuring a seamless migration to optimize operations and minimize disruption to ongoing projects with careful planning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technical discussions regarding software enhancements and application architecture, leading to optimized solutions that fulfilled civil IT needs and well-articulated responsive design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implementing IT solutions for bidding processes and paperless contracting strategies that reduced paper usage significantly while boosting internal productivity within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each stage of the software development process, emphasizing clarity in communication for stakeholders and ensuring alignment with project objectives and timelines.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