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development. Proven expertise in leading full software development lifecycles, integrating secure coding practices, and mentoring teams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VB.Net, JavaScript, TypeScript, HTML, CSS,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AngularJS, React, .NET Framework, ASP.NET, Node.js, Bootstrap, jQuery,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Tools:</w:t>
      </w:r>
      <w:r w:rsidRPr="003813CA">
        <w:rPr>
          <w:rFonts w:ascii="Arial" w:eastAsia="Century Gothic" w:hAnsi="Arial" w:cs="Arial"/>
          <w:sz w:val="22"/>
          <w:szCs w:val="22"/>
        </w:rPr>
        <w:t xml:space="preserve"> Azure, Microsoft Azure Service Fabric, Docker, Kubernetes, Jenkins, Terraform,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Tools:</w:t>
      </w:r>
      <w:r w:rsidRPr="003813CA">
        <w:rPr>
          <w:rFonts w:ascii="Arial" w:eastAsia="Century Gothic" w:hAnsi="Arial" w:cs="Arial"/>
          <w:sz w:val="22"/>
          <w:szCs w:val="22"/>
        </w:rPr>
        <w:t xml:space="preserve"> MS SQL Server, SSMS, Redis, MongoDB, PostgreSQL, Oracle,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Test Automation, Version Control, TDD, BEM, SOA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to ensure seamless user experience and high performance for high-traffic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implementation of software upgrades and applied architectural enhancements across multiple projects while maintaining adherence to security and enterprise standards set by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root cause analysis of systemic issues, employing advanced troubleshooting techniques and resolving technical blockers efficiently to maintain uninterrupted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Subject Matter Expert (SME) for secure coding practices, providing technical mentoring to junior engineers and enforcing best practices across the development team to enhance security posture.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business analysts and test engineers to validate requirements, ensuring alignment between development goals and user expectations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and improved development and release processes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a robust CI/CD pipeline that accelerated delivery and reduced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orchestrated, and supported secure cloud infrastructure on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both IaaS and PaaS offerings for scalable application deployment in a hybrid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cloud providers and management teams to ensure smooth deployment and management of resources, leading discussions on optimizing cloud architecture and service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Tracked and scheduled deployments of applications, utilizing agile methodologies to prioritize tasks effectively and meet project timelines consistently while adjusting to changing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peer reviews, fostering a collaborative environment that encouraged knowledge sharing and continuous improvement in coding standards among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technical research and development activities, contributing to the long-term system roadmap by evaluating emerging technologies and providing strategic recommendations to enhance system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Azure Service Fabric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microservices architecture implementation, ensuring high availability and resilient application design that met enterprise requirements for scalability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enhancing team dynamics through knowledge sharing and encouraging the adoption of best practices in software design and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testing strategies and automated tests to improve quality assurance processes, significantly reducing the number of defects reported post-deployment and enhancing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proactive communication with supervisors and stakeholders, ensuring alignment on progress and addressing any challenges or changes in project scope promptly.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to support civil engineering processes, integrating automated solutions for planning, bidding, and construction management that streamlined operations and enhanced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software engineering tasks focusing on digital solutions for inspection and paperless contracting, driving efficiency and accessibility in civil IT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efforts to establish and optimize code repositories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among developers and ensuring smooth version control and deployment processes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requirements gathering sessions with clients, translating business needs into technical specifications and detailed user stories for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 techniques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applications were optimized for both mobile and desktop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fixing code bugs across applications, employing meticulous problem-solving skills to enhance system functionality and user experience after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within the team, providing guidance in software development best practices and enforcing compliance with coding standards and company policies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project deliverables with business objectives, showcasing effective communication and adaptability in a dynamic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tools to optimize database performance, implementing indexing strategies and writing complex queries to enhance data retrieval and application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web application security assessments to identify vulnerabilities and implemented changes based on findings, ensuring compliance with regulatory standards and improving overall security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into existing frameworks, allowing for enhanced application capabilities and data sharing between systems, making civil IT solutions more robust.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professional development and training initiatives to remain current with emerging technologies and industry trends relevant to civil IT and software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