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scalable web and mobile applications. Proven expertise in leading technical initiatives, mentoring engineering teams, and implementing robust solutions within clinical diagnostics and genetic testing sectors, emphasizing security, compliance, and innovative system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.NET Core, React, Angular, Vue.js,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MS SQL Server, PostgreSQL,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OpenAPI, Swagger,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DevOps,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NUnit, Jest,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scalable software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genetic testing workflows, leading to improved operational efficiency and better clinical reporting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of a comprehensive </w:t>
      </w:r>
      <w:r w:rsidRPr="003813CA">
        <w:rPr>
          <w:rStyle w:val="span"/>
          <w:rFonts w:ascii="Arial" w:eastAsia="Century Gothic" w:hAnsi="Arial" w:cs="Arial"/>
          <w:b/>
          <w:bCs/>
          <w:sz w:val="22"/>
          <w:szCs w:val="22"/>
        </w:rPr>
        <w:t xml:space="preserve">software ecosystem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integrates genetic testing data ensuring high </w:t>
      </w:r>
      <w:r w:rsidRPr="003813CA">
        <w:rPr>
          <w:rStyle w:val="span"/>
          <w:rFonts w:ascii="Arial" w:eastAsia="Century Gothic" w:hAnsi="Arial" w:cs="Arial"/>
          <w:b/>
          <w:bCs/>
          <w:sz w:val="22"/>
          <w:szCs w:val="22"/>
        </w:rPr>
        <w:t xml:space="preserve">data integrity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w:t>
      </w:r>
      <w:r w:rsidRPr="003813CA">
        <w:rPr>
          <w:rStyle w:val="span"/>
          <w:rFonts w:ascii="Arial" w:eastAsia="Century Gothic" w:hAnsi="Arial" w:cs="Arial"/>
          <w:b/>
          <w:bCs/>
          <w:sz w:val="22"/>
          <w:szCs w:val="22"/>
        </w:rPr>
        <w:t xml:space="preserve">regulatory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geneticists and bioinformaticians to translate complex business needs into robust </w:t>
      </w:r>
      <w:r w:rsidRPr="003813CA">
        <w:rPr>
          <w:rStyle w:val="span"/>
          <w:rFonts w:ascii="Arial" w:eastAsia="Century Gothic" w:hAnsi="Arial" w:cs="Arial"/>
          <w:b/>
          <w:bCs/>
          <w:sz w:val="22"/>
          <w:szCs w:val="22"/>
        </w:rPr>
        <w:t xml:space="preserve">technical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patient care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deep technical reviews and guided system design discussions, ensuring </w:t>
      </w:r>
      <w:r w:rsidRPr="003813CA">
        <w:rPr>
          <w:rStyle w:val="span"/>
          <w:rFonts w:ascii="Arial" w:eastAsia="Century Gothic" w:hAnsi="Arial" w:cs="Arial"/>
          <w:b/>
          <w:bCs/>
          <w:sz w:val="22"/>
          <w:szCs w:val="22"/>
        </w:rPr>
        <w:t xml:space="preserve">architectural consistency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engineering practices to drive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engineering teams, fostering a culture of </w:t>
      </w:r>
      <w:r w:rsidRPr="003813CA">
        <w:rPr>
          <w:rStyle w:val="span"/>
          <w:rFonts w:ascii="Arial" w:eastAsia="Century Gothic" w:hAnsi="Arial" w:cs="Arial"/>
          <w:b/>
          <w:bCs/>
          <w:sz w:val="22"/>
          <w:szCs w:val="22"/>
        </w:rPr>
        <w:t xml:space="preserve">technical excellence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project delivery timelines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led the strategic adoption of </w:t>
      </w:r>
      <w:r w:rsidRPr="003813CA">
        <w:rPr>
          <w:rStyle w:val="span"/>
          <w:rFonts w:ascii="Arial" w:eastAsia="Century Gothic" w:hAnsi="Arial" w:cs="Arial"/>
          <w:b/>
          <w:bCs/>
          <w:sz w:val="22"/>
          <w:szCs w:val="22"/>
        </w:rPr>
        <w:t xml:space="preserve">cloud-native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infrastructure costs while improving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leaders to define long-term </w:t>
      </w:r>
      <w:r w:rsidRPr="003813CA">
        <w:rPr>
          <w:rStyle w:val="span"/>
          <w:rFonts w:ascii="Arial" w:eastAsia="Century Gothic" w:hAnsi="Arial" w:cs="Arial"/>
          <w:b/>
          <w:bCs/>
          <w:sz w:val="22"/>
          <w:szCs w:val="22"/>
        </w:rPr>
        <w:t xml:space="preserve">engineering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team's ability to deliver innovative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root-cause analysis and resolution of complex technical issues, promoting a proactive approach to system reliability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and privacy regulations across all software systems, contributing to a safer and more secure digital environment for patient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innovation initiatives that advanced </w:t>
      </w:r>
      <w:r w:rsidRPr="003813CA">
        <w:rPr>
          <w:rStyle w:val="span"/>
          <w:rFonts w:ascii="Arial" w:eastAsia="Century Gothic" w:hAnsi="Arial" w:cs="Arial"/>
          <w:b/>
          <w:bCs/>
          <w:sz w:val="22"/>
          <w:szCs w:val="22"/>
        </w:rPr>
        <w:t xml:space="preserve">Baylor Genetics’ digital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competitive advantage in the clinical diagnostics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objectives through various responsibilities, adapting quickly to changing priorities and maintaining high standards of </w:t>
      </w:r>
      <w:r w:rsidRPr="003813CA">
        <w:rPr>
          <w:rStyle w:val="span"/>
          <w:rFonts w:ascii="Arial" w:eastAsia="Century Gothic" w:hAnsi="Arial" w:cs="Arial"/>
          <w:b/>
          <w:bCs/>
          <w:sz w:val="22"/>
          <w:szCs w:val="22"/>
        </w:rPr>
        <w:t xml:space="preserve">software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w:t>
      </w:r>
      <w:r w:rsidRPr="003813CA">
        <w:rPr>
          <w:rStyle w:val="span"/>
          <w:rFonts w:ascii="Arial" w:eastAsia="Century Gothic" w:hAnsi="Arial" w:cs="Arial"/>
          <w:b/>
          <w:bCs/>
          <w:sz w:val="22"/>
          <w:szCs w:val="22"/>
        </w:rPr>
        <w:t xml:space="preserve">system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applying solid grounding in modern software practices to support diverse application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efficient workflows by integrating </w:t>
      </w:r>
      <w:r w:rsidRPr="003813CA">
        <w:rPr>
          <w:rStyle w:val="span"/>
          <w:rFonts w:ascii="Arial" w:eastAsia="Century Gothic" w:hAnsi="Arial" w:cs="Arial"/>
          <w:b/>
          <w:bCs/>
          <w:sz w:val="22"/>
          <w:szCs w:val="22"/>
        </w:rPr>
        <w:t xml:space="preserve">laboratory information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(LIMS) with software solutions, directly benefiting biomedical professionals and patients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software development processes, resulting in increased automation and reduced time to market, enhancing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within the team leveraging `pair programming` and code reviews, strengthening the technical capabilities of team members across various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custom software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deployed for civil IT projects, enhancing the efficiency of planning and management processes across various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governed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with third-party services, ensuring seamless data exchange in construction project management tools that align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designing and developing </w:t>
      </w:r>
      <w:r w:rsidRPr="003813CA">
        <w:rPr>
          <w:rStyle w:val="span"/>
          <w:rFonts w:ascii="Arial" w:eastAsia="Century Gothic" w:hAnsi="Arial" w:cs="Arial"/>
          <w:b/>
          <w:bCs/>
          <w:sz w:val="22"/>
          <w:szCs w:val="22"/>
        </w:rPr>
        <w:t xml:space="preserve">data-driven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real-time insights for construction project bidding and analysis, driving improved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to improve the quality of software deliverables, establishing a culture of open communication and continuous learning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optimize database schemas for high-performance applications in civil engineering, ensuring optimal data retrieval speeds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solutions into existing software frameworks, promoting efficiency in documentation and compliance management across diverse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maintain a clear understanding of project goals and deliverables, driving alignment towards achieving project milestones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best practices in software design by documenting code and workflows, helping junior engineers understand the rationale behind architectural decisions and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effectively communicating progress and challenges with stakeholders, ensuring transparency and trust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integration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storage and accessibility for remote project teams, supporting ongoing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defining project scope and implementing requirements, ensuring final deliverables met client expectations and industry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