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developing, and optimizing software solutions, particularly in AI inference and mixed systems. Proven expertise in LLM inference systems and GPU performance engineering. Strong collaborative spirit with a focus on open-source contributions and mentorship, committed to delivering high-performance applications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Python, CUDA, Java,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Inference Technologies:</w:t>
      </w:r>
      <w:r w:rsidRPr="003813CA">
        <w:rPr>
          <w:rFonts w:ascii="Arial" w:eastAsia="Century Gothic" w:hAnsi="Arial" w:cs="Arial"/>
          <w:sz w:val="22"/>
          <w:szCs w:val="22"/>
        </w:rPr>
        <w:t xml:space="preserve"> vLLM, SGLang, PyTorch, TensorFlow, Triton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 &amp; Architectures:</w:t>
      </w:r>
      <w:r w:rsidRPr="003813CA">
        <w:rPr>
          <w:rFonts w:ascii="Arial" w:eastAsia="Century Gothic" w:hAnsi="Arial" w:cs="Arial"/>
          <w:sz w:val="22"/>
          <w:szCs w:val="22"/>
        </w:rPr>
        <w:t xml:space="preserve"> Microservices, RPC, Kafka, gRPC, Redis,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Analysis &amp; Optimization Tools:</w:t>
      </w:r>
      <w:r w:rsidRPr="003813CA">
        <w:rPr>
          <w:rFonts w:ascii="Arial" w:eastAsia="Century Gothic" w:hAnsi="Arial" w:cs="Arial"/>
          <w:sz w:val="22"/>
          <w:szCs w:val="22"/>
        </w:rPr>
        <w:t xml:space="preserve"> NVIDIA Nsight, CUDA Profiler, TensorBoard, Valgrind, Perf, JProfiler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Development Tools:</w:t>
      </w:r>
      <w:r w:rsidRPr="003813CA">
        <w:rPr>
          <w:rFonts w:ascii="Arial" w:eastAsia="Century Gothic" w:hAnsi="Arial" w:cs="Arial"/>
          <w:sz w:val="22"/>
          <w:szCs w:val="22"/>
        </w:rPr>
        <w:t xml:space="preserve"> Git, Jenkins, CircleCI, Travis CI,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key features for </w:t>
      </w:r>
      <w:r w:rsidRPr="003813CA">
        <w:rPr>
          <w:rStyle w:val="span"/>
          <w:rFonts w:ascii="Arial" w:eastAsia="Century Gothic" w:hAnsi="Arial" w:cs="Arial"/>
          <w:b/>
          <w:bCs/>
          <w:sz w:val="22"/>
          <w:szCs w:val="22"/>
        </w:rPr>
        <w:t xml:space="preserve">LLM inference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driving upstream contributions that enhanced </w:t>
      </w:r>
      <w:r w:rsidRPr="003813CA">
        <w:rPr>
          <w:rStyle w:val="span"/>
          <w:rFonts w:ascii="Arial" w:eastAsia="Century Gothic" w:hAnsi="Arial" w:cs="Arial"/>
          <w:b/>
          <w:bCs/>
          <w:sz w:val="22"/>
          <w:szCs w:val="22"/>
        </w:rPr>
        <w:t xml:space="preserve">GPU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software performance across various applications for high efficiency and low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engineering teams to build and implement advanced </w:t>
      </w:r>
      <w:r w:rsidRPr="003813CA">
        <w:rPr>
          <w:rStyle w:val="span"/>
          <w:rFonts w:ascii="Arial" w:eastAsia="Century Gothic" w:hAnsi="Arial" w:cs="Arial"/>
          <w:b/>
          <w:bCs/>
          <w:sz w:val="22"/>
          <w:szCs w:val="22"/>
        </w:rPr>
        <w:t xml:space="preserve">inference-runtime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efficiency and latency through techniques like </w:t>
      </w:r>
      <w:r w:rsidRPr="003813CA">
        <w:rPr>
          <w:rStyle w:val="span"/>
          <w:rFonts w:ascii="Arial" w:eastAsia="Century Gothic" w:hAnsi="Arial" w:cs="Arial"/>
          <w:b/>
          <w:bCs/>
          <w:sz w:val="22"/>
          <w:szCs w:val="22"/>
        </w:rPr>
        <w:t xml:space="preserve">request scheduling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KV-cache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profiling methods to analyze hot paths within the stack, from </w:t>
      </w:r>
      <w:r w:rsidRPr="003813CA">
        <w:rPr>
          <w:rStyle w:val="span"/>
          <w:rFonts w:ascii="Arial" w:eastAsia="Century Gothic" w:hAnsi="Arial" w:cs="Arial"/>
          <w:b/>
          <w:bCs/>
          <w:sz w:val="22"/>
          <w:szCs w:val="22"/>
        </w:rPr>
        <w:t xml:space="preserve">Python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C++/CUDA kernel optimizations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high-performance benchmarks and substantial software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multi-GPU and multi-node communication patterns and parallelism strategies, employing both tensor and sequencing methodologies to ensure scalability and enhanced system-level efficiencies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the correctness and operability of inference systems by implementing observability hooks, structured performance regression testing, and graceful degradation strategies in production-grade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r w:rsidRPr="003813CA">
        <w:rPr>
          <w:rStyle w:val="span"/>
          <w:rFonts w:ascii="Arial" w:eastAsia="Century Gothic" w:hAnsi="Arial" w:cs="Arial"/>
          <w:b/>
          <w:bCs/>
          <w:sz w:val="22"/>
          <w:szCs w:val="22"/>
        </w:rPr>
        <w:t xml:space="preserve">performance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upstream contributions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 and excellence in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IT projects, utilizing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frameworks to optimize planning, resource management, and construction workflows for enhanced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architecture solutions that integrated various software services for civil IT applications, ensuring robust performance and scalability while focusing on usability and user-centric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functionalities by streamlining the bidding and inspection processes through the development of responsive mobile applications, employing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teams to deliver software solutions in civil engineering, promoting agile methodologies to optimize project management and enhance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rigorous testing methodologies to ensure the reliability of digital solutions, including automated testing strategies that improved the quality assurance process and reduced deployment risks.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