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full-stack development, specializing in Java, React, and cloud technologies. Adept at building scalable solutions and optimizing performance in healthcare and finance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Redux,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Express,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 Cloud Infrastructure (OCI), AWS, Azure,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Kafka, Event 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GitHub Actions, Liquibase,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claims pricing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healthcare regulations and optimizing for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event-driven patterns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OCI 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processing capabilities for high-volume claims data applications in real-time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UI functionality and usability for pricing analysts and internal users, focusing on clarity and performance while adhering to UX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subject matter experts to translate complex pricing logic into well-designed, testable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code, focusing on maintainability and long-term adaptability in changing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system architecture and cloud-native solutions, implementing a secure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 and capacity planning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pairing sessions to foster knowledge transfer and technical growth, emphasizing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CI/CD pipeline improvements by integrating automated testing and quality gates,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processes to enhance developer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authentication and data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safe handling of sensitive healthcare information according to industry standards.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monitor and tune pricing pipelines for operational resilience, employing observability tools to ensure system health and responsiveness to volume spikes.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 with developers, product management, and ops teams to ensure alignment between technical solutions and business goals in pricing strategy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developing and supporting digital solutions for the civil IT sector, enhancing tools for planning, bidding, and construction management with a strong emphasis on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 that facilitated efficient inspection and paperless contracting solutions, streamlining processes within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project teams to define system requirements, translating client needs into functional specifications, and ensuring clarity between stakeholders and technical teams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support the integration of third-party services into the civil IT platform, focusing on scalability, reliability, and adherence to best practices in web services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user-centered design principles in developing user interfaces, introducing valuable features that improved the efficiency of project workflows and client satisfaction within stakeholders.”,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]},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