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full-stack development and AI agent integration. Proven expertise in building scalable web and mobile applications using cutting-edge technologies. Adept at driving innovation and leveraging best practices in secure software development and cloud infrastructure, particularly within healthcare and compliance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Terraform, Kubernetes,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MongoDB, DocumentDB, MySQL,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applications for AI agent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DevOps practices, resulting in improved development and deployment cycles across multiple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user requirements and design solutions that enhance clinical decision support tools for healthcare professionals, aligning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facilitated knowledge sharing sessions on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developer tooling that supports rapid iteration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agents, enhancing system reliability through improved testing strategies and observability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privacy-by-design principles in application development, ensuring compliance with regulations like HIPAA and SOC2, significantly enhancing system security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AI models using techniques such as fine-tuning and model adaptation within cloud environments, improving the efficiency of the agent evaluations and performance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to create high-performance AI agents capable of real-time responses and interactions, thereby increasing the overall user engagement with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secure, reliable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robust architecture design that supports extensive data processing and analytics for high-demand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architecture discussions that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development, leading to more maintainable and scalable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development of metrics tracking strategies to assess the performance and usability of deployed applications in various environments, driving data-driven improvements in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 visions and delivering innovative solutions for digital planning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create user-focused features that improve data flow and management throughout construction projects while adhering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solutions into existing software products, employing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scalability under high demand.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during the development process, streamlining environments for building and deploying applications across different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and enforced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product delivery timelines and optimize team collaboration across development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monitoring tools that track application performance and user interactions, enabling proactive adjustments to meet user needs and improve overall service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established metrics for evaluating the impact of new features and enhancements on project execution and client satisfaction, reinforcing focus on user-centric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deployment of backend services focused on seamless data integration and automation of civil permit processes for various governmental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